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6D364" w14:textId="081486CC" w:rsidR="0041428A" w:rsidRDefault="0041428A">
      <w:r>
        <w:rPr>
          <w:noProof/>
          <w:sz w:val="20"/>
          <w:szCs w:val="20"/>
        </w:rPr>
        <mc:AlternateContent>
          <mc:Choice Requires="wps">
            <w:drawing>
              <wp:anchor distT="0" distB="0" distL="114300" distR="114300" simplePos="0" relativeHeight="251659264" behindDoc="0" locked="0" layoutInCell="1" allowOverlap="1" wp14:anchorId="78B7B987" wp14:editId="5A519E81">
                <wp:simplePos x="0" y="0"/>
                <wp:positionH relativeFrom="margin">
                  <wp:align>left</wp:align>
                </wp:positionH>
                <wp:positionV relativeFrom="paragraph">
                  <wp:posOffset>-1048948</wp:posOffset>
                </wp:positionV>
                <wp:extent cx="2240496" cy="663048"/>
                <wp:effectExtent l="0" t="0" r="26670" b="22860"/>
                <wp:wrapNone/>
                <wp:docPr id="1" name="Text Box 1"/>
                <wp:cNvGraphicFramePr/>
                <a:graphic xmlns:a="http://schemas.openxmlformats.org/drawingml/2006/main">
                  <a:graphicData uri="http://schemas.microsoft.com/office/word/2010/wordprocessingShape">
                    <wps:wsp>
                      <wps:cNvSpPr txBox="1"/>
                      <wps:spPr>
                        <a:xfrm>
                          <a:off x="0" y="0"/>
                          <a:ext cx="2240496" cy="6630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05D631" w14:textId="27787485" w:rsidR="00B2522B" w:rsidRPr="00740EE5" w:rsidRDefault="001029B9" w:rsidP="00B2522B">
                            <w:pPr>
                              <w:rPr>
                                <w:b/>
                                <w:sz w:val="16"/>
                                <w:szCs w:val="16"/>
                              </w:rPr>
                            </w:pPr>
                            <w:r>
                              <w:rPr>
                                <w:b/>
                                <w:sz w:val="16"/>
                                <w:szCs w:val="16"/>
                              </w:rPr>
                              <w:t xml:space="preserve">Email the </w:t>
                            </w:r>
                            <w:r w:rsidR="00B2522B" w:rsidRPr="00740EE5">
                              <w:rPr>
                                <w:b/>
                                <w:sz w:val="16"/>
                                <w:szCs w:val="16"/>
                              </w:rPr>
                              <w:t>c</w:t>
                            </w:r>
                            <w:r w:rsidR="00193ACF" w:rsidRPr="00740EE5">
                              <w:rPr>
                                <w:b/>
                                <w:sz w:val="16"/>
                                <w:szCs w:val="16"/>
                              </w:rPr>
                              <w:t>ompleted form to</w:t>
                            </w:r>
                            <w:r>
                              <w:rPr>
                                <w:b/>
                                <w:sz w:val="16"/>
                                <w:szCs w:val="16"/>
                              </w:rPr>
                              <w:t>:  Dr.</w:t>
                            </w:r>
                            <w:r w:rsidR="00193ACF" w:rsidRPr="00740EE5">
                              <w:rPr>
                                <w:b/>
                                <w:sz w:val="16"/>
                                <w:szCs w:val="16"/>
                              </w:rPr>
                              <w:t xml:space="preserve"> Judette Haddad</w:t>
                            </w:r>
                            <w:r>
                              <w:rPr>
                                <w:b/>
                                <w:sz w:val="16"/>
                                <w:szCs w:val="16"/>
                              </w:rPr>
                              <w:t xml:space="preserve">, Regulatory Compliance Coordinator, </w:t>
                            </w:r>
                            <w:proofErr w:type="gramStart"/>
                            <w:r>
                              <w:rPr>
                                <w:b/>
                                <w:sz w:val="16"/>
                                <w:szCs w:val="16"/>
                              </w:rPr>
                              <w:t>Office</w:t>
                            </w:r>
                            <w:proofErr w:type="gramEnd"/>
                            <w:r>
                              <w:rPr>
                                <w:b/>
                                <w:sz w:val="16"/>
                                <w:szCs w:val="16"/>
                              </w:rPr>
                              <w:t xml:space="preserve"> of Research Administration</w:t>
                            </w:r>
                            <w:r>
                              <w:rPr>
                                <w:sz w:val="16"/>
                                <w:szCs w:val="16"/>
                              </w:rPr>
                              <w:t xml:space="preserve">, </w:t>
                            </w:r>
                            <w:r w:rsidRPr="00F647AA">
                              <w:rPr>
                                <w:b/>
                                <w:sz w:val="16"/>
                                <w:szCs w:val="16"/>
                              </w:rPr>
                              <w:t xml:space="preserve">at </w:t>
                            </w:r>
                            <w:r w:rsidR="00B2522B" w:rsidRPr="00F647AA">
                              <w:rPr>
                                <w:b/>
                                <w:sz w:val="16"/>
                                <w:szCs w:val="16"/>
                              </w:rPr>
                              <w:t xml:space="preserve">Email: </w:t>
                            </w:r>
                            <w:hyperlink r:id="rId8" w:history="1">
                              <w:r w:rsidR="00193ACF" w:rsidRPr="00F647AA">
                                <w:rPr>
                                  <w:rStyle w:val="Hyperlink"/>
                                  <w:b/>
                                  <w:sz w:val="16"/>
                                  <w:szCs w:val="16"/>
                                </w:rPr>
                                <w:t>haddad@oakland.edu</w:t>
                              </w:r>
                            </w:hyperlink>
                            <w:r w:rsidR="00193ACF" w:rsidRPr="00F647AA">
                              <w:rPr>
                                <w:b/>
                                <w:sz w:val="16"/>
                                <w:szCs w:val="16"/>
                              </w:rPr>
                              <w:t xml:space="preserve">   </w:t>
                            </w:r>
                            <w:r w:rsidR="00193ACF" w:rsidRPr="00F647AA">
                              <w:rPr>
                                <w:b/>
                                <w:sz w:val="16"/>
                                <w:szCs w:val="16"/>
                              </w:rPr>
                              <w:br/>
                            </w:r>
                            <w:r w:rsidR="00B2522B" w:rsidRPr="00740EE5">
                              <w:rPr>
                                <w:sz w:val="16"/>
                                <w:szCs w:val="16"/>
                              </w:rPr>
                              <w:br/>
                            </w:r>
                            <w:r w:rsidR="00B2522B" w:rsidRPr="00740EE5">
                              <w:rPr>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7B987" id="_x0000_t202" coordsize="21600,21600" o:spt="202" path="m,l,21600r21600,l21600,xe">
                <v:stroke joinstyle="miter"/>
                <v:path gradientshapeok="t" o:connecttype="rect"/>
              </v:shapetype>
              <v:shape id="Text Box 1" o:spid="_x0000_s1026" type="#_x0000_t202" style="position:absolute;margin-left:0;margin-top:-82.6pt;width:176.4pt;height:52.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" fillcolor="white [3201]" strokeweight=".5pt">
                <v:textbox>
                  <w:txbxContent>
                    <w:p w14:paraId="2605D631" w14:textId="27787485" w:rsidR="00B2522B" w:rsidRPr="00740EE5" w:rsidRDefault="001029B9" w:rsidP="00B2522B">
                      <w:pPr>
                        <w:rPr>
                          <w:b/>
                          <w:sz w:val="16"/>
                          <w:szCs w:val="16"/>
                        </w:rPr>
                      </w:pPr>
                      <w:r>
                        <w:rPr>
                          <w:b/>
                          <w:sz w:val="16"/>
                          <w:szCs w:val="16"/>
                        </w:rPr>
                        <w:t xml:space="preserve">Email the </w:t>
                      </w:r>
                      <w:r w:rsidR="00B2522B" w:rsidRPr="00740EE5">
                        <w:rPr>
                          <w:b/>
                          <w:sz w:val="16"/>
                          <w:szCs w:val="16"/>
                        </w:rPr>
                        <w:t>c</w:t>
                      </w:r>
                      <w:r w:rsidR="00193ACF" w:rsidRPr="00740EE5">
                        <w:rPr>
                          <w:b/>
                          <w:sz w:val="16"/>
                          <w:szCs w:val="16"/>
                        </w:rPr>
                        <w:t>ompleted form to</w:t>
                      </w:r>
                      <w:r>
                        <w:rPr>
                          <w:b/>
                          <w:sz w:val="16"/>
                          <w:szCs w:val="16"/>
                        </w:rPr>
                        <w:t>:  Dr.</w:t>
                      </w:r>
                      <w:r w:rsidR="00193ACF" w:rsidRPr="00740EE5">
                        <w:rPr>
                          <w:b/>
                          <w:sz w:val="16"/>
                          <w:szCs w:val="16"/>
                        </w:rPr>
                        <w:t xml:space="preserve"> Judette Haddad</w:t>
                      </w:r>
                      <w:r>
                        <w:rPr>
                          <w:b/>
                          <w:sz w:val="16"/>
                          <w:szCs w:val="16"/>
                        </w:rPr>
                        <w:t xml:space="preserve">, Regulatory Compliance Coordinator, </w:t>
                      </w:r>
                      <w:proofErr w:type="gramStart"/>
                      <w:r>
                        <w:rPr>
                          <w:b/>
                          <w:sz w:val="16"/>
                          <w:szCs w:val="16"/>
                        </w:rPr>
                        <w:t>Office</w:t>
                      </w:r>
                      <w:proofErr w:type="gramEnd"/>
                      <w:r>
                        <w:rPr>
                          <w:b/>
                          <w:sz w:val="16"/>
                          <w:szCs w:val="16"/>
                        </w:rPr>
                        <w:t xml:space="preserve"> of Research Administration</w:t>
                      </w:r>
                      <w:r>
                        <w:rPr>
                          <w:sz w:val="16"/>
                          <w:szCs w:val="16"/>
                        </w:rPr>
                        <w:t xml:space="preserve">, </w:t>
                      </w:r>
                      <w:r w:rsidRPr="00F647AA">
                        <w:rPr>
                          <w:b/>
                          <w:sz w:val="16"/>
                          <w:szCs w:val="16"/>
                        </w:rPr>
                        <w:t xml:space="preserve">at </w:t>
                      </w:r>
                      <w:r w:rsidR="00B2522B" w:rsidRPr="00F647AA">
                        <w:rPr>
                          <w:b/>
                          <w:sz w:val="16"/>
                          <w:szCs w:val="16"/>
                        </w:rPr>
                        <w:t xml:space="preserve">Email: </w:t>
                      </w:r>
                      <w:hyperlink r:id="rId9" w:history="1">
                        <w:r w:rsidR="00193ACF" w:rsidRPr="00F647AA">
                          <w:rPr>
                            <w:rStyle w:val="Hyperlink"/>
                            <w:b/>
                            <w:sz w:val="16"/>
                            <w:szCs w:val="16"/>
                          </w:rPr>
                          <w:t>haddad@oakland.edu</w:t>
                        </w:r>
                      </w:hyperlink>
                      <w:r w:rsidR="00193ACF" w:rsidRPr="00F647AA">
                        <w:rPr>
                          <w:b/>
                          <w:sz w:val="16"/>
                          <w:szCs w:val="16"/>
                        </w:rPr>
                        <w:t xml:space="preserve">   </w:t>
                      </w:r>
                      <w:r w:rsidR="00193ACF" w:rsidRPr="00F647AA">
                        <w:rPr>
                          <w:b/>
                          <w:sz w:val="16"/>
                          <w:szCs w:val="16"/>
                        </w:rPr>
                        <w:br/>
                      </w:r>
                      <w:r w:rsidR="00B2522B" w:rsidRPr="00740EE5">
                        <w:rPr>
                          <w:sz w:val="16"/>
                          <w:szCs w:val="16"/>
                        </w:rPr>
                        <w:br/>
                      </w:r>
                      <w:r w:rsidR="00B2522B" w:rsidRPr="00740EE5">
                        <w:rPr>
                          <w:sz w:val="16"/>
                          <w:szCs w:val="16"/>
                        </w:rPr>
                        <w:br/>
                      </w:r>
                    </w:p>
                  </w:txbxContent>
                </v:textbox>
                <w10:wrap anchorx="margin"/>
              </v:shape>
            </w:pict>
          </mc:Fallback>
        </mc:AlternateContent>
      </w:r>
    </w:p>
    <w:tbl>
      <w:tblPr>
        <w:tblStyle w:val="LightShading-Accent5"/>
        <w:tblpPr w:leftFromText="180" w:rightFromText="180" w:vertAnchor="text" w:horzAnchor="margin" w:tblpY="25"/>
        <w:tblW w:w="0" w:type="auto"/>
        <w:tblLook w:val="04A0" w:firstRow="1" w:lastRow="0" w:firstColumn="1" w:lastColumn="0" w:noHBand="0" w:noVBand="1"/>
      </w:tblPr>
      <w:tblGrid>
        <w:gridCol w:w="2058"/>
        <w:gridCol w:w="3528"/>
        <w:gridCol w:w="1392"/>
        <w:gridCol w:w="3822"/>
      </w:tblGrid>
      <w:tr w:rsidR="00C7622C" w14:paraId="5DCA3E0C" w14:textId="77777777" w:rsidTr="00C762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gridSpan w:val="4"/>
          </w:tcPr>
          <w:p w14:paraId="240B3A59" w14:textId="77777777" w:rsidR="00C7622C" w:rsidRDefault="00C7622C" w:rsidP="00C7622C">
            <w:pPr>
              <w:jc w:val="center"/>
            </w:pPr>
            <w:r>
              <w:t>Applicant Information</w:t>
            </w:r>
          </w:p>
        </w:tc>
      </w:tr>
      <w:tr w:rsidR="00C7622C" w14:paraId="522327E2" w14:textId="77777777" w:rsidTr="00414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8" w:type="dxa"/>
          </w:tcPr>
          <w:p w14:paraId="32BB4AC5" w14:textId="77777777" w:rsidR="00C7622C" w:rsidRPr="001800C7" w:rsidRDefault="00C7622C" w:rsidP="00C7622C">
            <w:pPr>
              <w:jc w:val="right"/>
            </w:pPr>
            <w:r>
              <w:t>Applicant:</w:t>
            </w:r>
          </w:p>
        </w:tc>
        <w:tc>
          <w:tcPr>
            <w:tcW w:w="3528" w:type="dxa"/>
          </w:tcPr>
          <w:p w14:paraId="56303D6F" w14:textId="77777777" w:rsidR="00C7622C" w:rsidRDefault="00C7622C" w:rsidP="00C7622C">
            <w:pPr>
              <w:cnfStyle w:val="000000100000" w:firstRow="0" w:lastRow="0" w:firstColumn="0" w:lastColumn="0" w:oddVBand="0" w:evenVBand="0" w:oddHBand="1" w:evenHBand="0" w:firstRowFirstColumn="0" w:firstRowLastColumn="0" w:lastRowFirstColumn="0" w:lastRowLastColumn="0"/>
            </w:pPr>
          </w:p>
        </w:tc>
        <w:tc>
          <w:tcPr>
            <w:tcW w:w="1392" w:type="dxa"/>
          </w:tcPr>
          <w:p w14:paraId="13B1AB4F" w14:textId="77777777" w:rsidR="00C7622C" w:rsidRPr="00740EE5" w:rsidRDefault="00C7622C" w:rsidP="00C7622C">
            <w:pPr>
              <w:jc w:val="right"/>
              <w:cnfStyle w:val="000000100000" w:firstRow="0" w:lastRow="0" w:firstColumn="0" w:lastColumn="0" w:oddVBand="0" w:evenVBand="0" w:oddHBand="1" w:evenHBand="0" w:firstRowFirstColumn="0" w:firstRowLastColumn="0" w:lastRowFirstColumn="0" w:lastRowLastColumn="0"/>
              <w:rPr>
                <w:b/>
              </w:rPr>
            </w:pPr>
            <w:r w:rsidRPr="00740EE5">
              <w:rPr>
                <w:b/>
              </w:rPr>
              <w:t xml:space="preserve">Title: </w:t>
            </w:r>
          </w:p>
        </w:tc>
        <w:tc>
          <w:tcPr>
            <w:tcW w:w="3822" w:type="dxa"/>
          </w:tcPr>
          <w:p w14:paraId="2205C354" w14:textId="77777777" w:rsidR="00C7622C" w:rsidRDefault="00C7622C" w:rsidP="00C7622C">
            <w:pPr>
              <w:cnfStyle w:val="000000100000" w:firstRow="0" w:lastRow="0" w:firstColumn="0" w:lastColumn="0" w:oddVBand="0" w:evenVBand="0" w:oddHBand="1" w:evenHBand="0" w:firstRowFirstColumn="0" w:firstRowLastColumn="0" w:lastRowFirstColumn="0" w:lastRowLastColumn="0"/>
            </w:pPr>
          </w:p>
        </w:tc>
      </w:tr>
      <w:tr w:rsidR="00C7622C" w14:paraId="2380138C" w14:textId="77777777" w:rsidTr="0041428A">
        <w:tc>
          <w:tcPr>
            <w:cnfStyle w:val="001000000000" w:firstRow="0" w:lastRow="0" w:firstColumn="1" w:lastColumn="0" w:oddVBand="0" w:evenVBand="0" w:oddHBand="0" w:evenHBand="0" w:firstRowFirstColumn="0" w:firstRowLastColumn="0" w:lastRowFirstColumn="0" w:lastRowLastColumn="0"/>
            <w:tcW w:w="2058" w:type="dxa"/>
          </w:tcPr>
          <w:p w14:paraId="29BDF60D" w14:textId="77777777" w:rsidR="00C7622C" w:rsidRPr="001800C7" w:rsidRDefault="00C7622C" w:rsidP="00C7622C">
            <w:pPr>
              <w:jc w:val="right"/>
            </w:pPr>
            <w:r>
              <w:t>Email:</w:t>
            </w:r>
          </w:p>
        </w:tc>
        <w:tc>
          <w:tcPr>
            <w:tcW w:w="3528" w:type="dxa"/>
          </w:tcPr>
          <w:p w14:paraId="7795083E" w14:textId="77777777" w:rsidR="00C7622C" w:rsidRDefault="00C7622C" w:rsidP="00C7622C">
            <w:pPr>
              <w:cnfStyle w:val="000000000000" w:firstRow="0" w:lastRow="0" w:firstColumn="0" w:lastColumn="0" w:oddVBand="0" w:evenVBand="0" w:oddHBand="0" w:evenHBand="0" w:firstRowFirstColumn="0" w:firstRowLastColumn="0" w:lastRowFirstColumn="0" w:lastRowLastColumn="0"/>
            </w:pPr>
          </w:p>
        </w:tc>
        <w:tc>
          <w:tcPr>
            <w:tcW w:w="1392" w:type="dxa"/>
          </w:tcPr>
          <w:p w14:paraId="2B6A2338" w14:textId="77777777" w:rsidR="00C7622C" w:rsidRPr="00740EE5" w:rsidRDefault="00C7622C" w:rsidP="00C7622C">
            <w:pPr>
              <w:jc w:val="right"/>
              <w:cnfStyle w:val="000000000000" w:firstRow="0" w:lastRow="0" w:firstColumn="0" w:lastColumn="0" w:oddVBand="0" w:evenVBand="0" w:oddHBand="0" w:evenHBand="0" w:firstRowFirstColumn="0" w:firstRowLastColumn="0" w:lastRowFirstColumn="0" w:lastRowLastColumn="0"/>
              <w:rPr>
                <w:b/>
              </w:rPr>
            </w:pPr>
            <w:r w:rsidRPr="00740EE5">
              <w:rPr>
                <w:b/>
              </w:rPr>
              <w:t>Department:</w:t>
            </w:r>
          </w:p>
        </w:tc>
        <w:tc>
          <w:tcPr>
            <w:tcW w:w="3822" w:type="dxa"/>
          </w:tcPr>
          <w:p w14:paraId="21D5D604" w14:textId="77777777" w:rsidR="00C7622C" w:rsidRDefault="00C7622C" w:rsidP="00C7622C">
            <w:pPr>
              <w:cnfStyle w:val="000000000000" w:firstRow="0" w:lastRow="0" w:firstColumn="0" w:lastColumn="0" w:oddVBand="0" w:evenVBand="0" w:oddHBand="0" w:evenHBand="0" w:firstRowFirstColumn="0" w:firstRowLastColumn="0" w:lastRowFirstColumn="0" w:lastRowLastColumn="0"/>
            </w:pPr>
          </w:p>
        </w:tc>
      </w:tr>
      <w:tr w:rsidR="00C7622C" w14:paraId="24A0E995" w14:textId="77777777" w:rsidTr="00414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8" w:type="dxa"/>
          </w:tcPr>
          <w:p w14:paraId="037AAF44" w14:textId="77777777" w:rsidR="00C7622C" w:rsidRDefault="00C7622C" w:rsidP="00C7622C">
            <w:pPr>
              <w:jc w:val="right"/>
            </w:pPr>
            <w:r>
              <w:t>Office (Rm &amp; Bldg.):</w:t>
            </w:r>
          </w:p>
        </w:tc>
        <w:tc>
          <w:tcPr>
            <w:tcW w:w="3528" w:type="dxa"/>
          </w:tcPr>
          <w:p w14:paraId="14A2692C" w14:textId="77777777" w:rsidR="00C7622C" w:rsidRDefault="00C7622C" w:rsidP="00C7622C">
            <w:pPr>
              <w:cnfStyle w:val="000000100000" w:firstRow="0" w:lastRow="0" w:firstColumn="0" w:lastColumn="0" w:oddVBand="0" w:evenVBand="0" w:oddHBand="1" w:evenHBand="0" w:firstRowFirstColumn="0" w:firstRowLastColumn="0" w:lastRowFirstColumn="0" w:lastRowLastColumn="0"/>
            </w:pPr>
          </w:p>
        </w:tc>
        <w:tc>
          <w:tcPr>
            <w:tcW w:w="1392" w:type="dxa"/>
          </w:tcPr>
          <w:p w14:paraId="35A96991" w14:textId="77777777" w:rsidR="00C7622C" w:rsidRPr="00740EE5" w:rsidRDefault="00C7622C" w:rsidP="00C7622C">
            <w:pPr>
              <w:jc w:val="right"/>
              <w:cnfStyle w:val="000000100000" w:firstRow="0" w:lastRow="0" w:firstColumn="0" w:lastColumn="0" w:oddVBand="0" w:evenVBand="0" w:oddHBand="1" w:evenHBand="0" w:firstRowFirstColumn="0" w:firstRowLastColumn="0" w:lastRowFirstColumn="0" w:lastRowLastColumn="0"/>
              <w:rPr>
                <w:b/>
              </w:rPr>
            </w:pPr>
            <w:r w:rsidRPr="00740EE5">
              <w:rPr>
                <w:b/>
              </w:rPr>
              <w:t>Extension:</w:t>
            </w:r>
          </w:p>
        </w:tc>
        <w:tc>
          <w:tcPr>
            <w:tcW w:w="3822" w:type="dxa"/>
          </w:tcPr>
          <w:p w14:paraId="3F43BC70" w14:textId="77777777" w:rsidR="00C7622C" w:rsidRDefault="00C7622C" w:rsidP="00C7622C">
            <w:pPr>
              <w:tabs>
                <w:tab w:val="left" w:pos="2940"/>
              </w:tabs>
              <w:cnfStyle w:val="000000100000" w:firstRow="0" w:lastRow="0" w:firstColumn="0" w:lastColumn="0" w:oddVBand="0" w:evenVBand="0" w:oddHBand="1" w:evenHBand="0" w:firstRowFirstColumn="0" w:firstRowLastColumn="0" w:lastRowFirstColumn="0" w:lastRowLastColumn="0"/>
            </w:pPr>
            <w:r>
              <w:tab/>
            </w:r>
          </w:p>
        </w:tc>
      </w:tr>
      <w:tr w:rsidR="00C7622C" w14:paraId="31E8AC29" w14:textId="77777777" w:rsidTr="0041428A">
        <w:tc>
          <w:tcPr>
            <w:cnfStyle w:val="001000000000" w:firstRow="0" w:lastRow="0" w:firstColumn="1" w:lastColumn="0" w:oddVBand="0" w:evenVBand="0" w:oddHBand="0" w:evenHBand="0" w:firstRowFirstColumn="0" w:firstRowLastColumn="0" w:lastRowFirstColumn="0" w:lastRowLastColumn="0"/>
            <w:tcW w:w="2058" w:type="dxa"/>
          </w:tcPr>
          <w:p w14:paraId="4C2DCB40" w14:textId="77777777" w:rsidR="00C7622C" w:rsidRDefault="00C7622C" w:rsidP="00C7622C">
            <w:pPr>
              <w:jc w:val="right"/>
            </w:pPr>
            <w:r>
              <w:t xml:space="preserve">Lab (Rm &amp; Bldg.):  </w:t>
            </w:r>
          </w:p>
        </w:tc>
        <w:tc>
          <w:tcPr>
            <w:tcW w:w="3528" w:type="dxa"/>
          </w:tcPr>
          <w:p w14:paraId="13DB3317" w14:textId="0D691D95" w:rsidR="00C7622C" w:rsidRDefault="00C7622C" w:rsidP="00C7622C">
            <w:pPr>
              <w:cnfStyle w:val="000000000000" w:firstRow="0" w:lastRow="0" w:firstColumn="0" w:lastColumn="0" w:oddVBand="0" w:evenVBand="0" w:oddHBand="0" w:evenHBand="0" w:firstRowFirstColumn="0" w:firstRowLastColumn="0" w:lastRowFirstColumn="0" w:lastRowLastColumn="0"/>
            </w:pPr>
          </w:p>
        </w:tc>
        <w:tc>
          <w:tcPr>
            <w:tcW w:w="1392" w:type="dxa"/>
          </w:tcPr>
          <w:p w14:paraId="5B43AEDA" w14:textId="77777777" w:rsidR="00C7622C" w:rsidRPr="00740EE5" w:rsidRDefault="00C7622C" w:rsidP="00C7622C">
            <w:pPr>
              <w:jc w:val="right"/>
              <w:cnfStyle w:val="000000000000" w:firstRow="0" w:lastRow="0" w:firstColumn="0" w:lastColumn="0" w:oddVBand="0" w:evenVBand="0" w:oddHBand="0" w:evenHBand="0" w:firstRowFirstColumn="0" w:firstRowLastColumn="0" w:lastRowFirstColumn="0" w:lastRowLastColumn="0"/>
              <w:rPr>
                <w:b/>
              </w:rPr>
            </w:pPr>
            <w:r w:rsidRPr="00740EE5">
              <w:rPr>
                <w:b/>
              </w:rPr>
              <w:t>Date:</w:t>
            </w:r>
          </w:p>
        </w:tc>
        <w:tc>
          <w:tcPr>
            <w:tcW w:w="3822" w:type="dxa"/>
          </w:tcPr>
          <w:p w14:paraId="4E97D58F" w14:textId="77777777" w:rsidR="00C7622C" w:rsidRDefault="00C7622C" w:rsidP="00C7622C">
            <w:pPr>
              <w:tabs>
                <w:tab w:val="right" w:pos="4328"/>
              </w:tabs>
              <w:cnfStyle w:val="000000000000" w:firstRow="0" w:lastRow="0" w:firstColumn="0" w:lastColumn="0" w:oddVBand="0" w:evenVBand="0" w:oddHBand="0" w:evenHBand="0" w:firstRowFirstColumn="0" w:firstRowLastColumn="0" w:lastRowFirstColumn="0" w:lastRowLastColumn="0"/>
            </w:pPr>
          </w:p>
        </w:tc>
      </w:tr>
    </w:tbl>
    <w:p w14:paraId="4621793C" w14:textId="1B438365" w:rsidR="00C7622C" w:rsidRDefault="00C7622C">
      <w:pPr>
        <w:rPr>
          <w:sz w:val="20"/>
          <w:szCs w:val="20"/>
        </w:rPr>
      </w:pPr>
    </w:p>
    <w:p w14:paraId="0D34D28F" w14:textId="53B71EEF" w:rsidR="007B5743" w:rsidRPr="00F647AA" w:rsidRDefault="000E3B5A">
      <w:r w:rsidRPr="00F647AA">
        <w:t xml:space="preserve">Please complete the following </w:t>
      </w:r>
      <w:r w:rsidR="0029180E" w:rsidRPr="00F647AA">
        <w:t>questionnaire</w:t>
      </w:r>
      <w:r w:rsidRPr="00F647AA">
        <w:t xml:space="preserve"> to determine if your project is exempt according to the NIH Guidelines for Recombinant DNA</w:t>
      </w:r>
      <w:r w:rsidR="001029B9" w:rsidRPr="00F647AA">
        <w:t xml:space="preserve"> (rDNA)</w:t>
      </w:r>
      <w:r w:rsidRPr="00F647AA">
        <w:t xml:space="preserve">. Once exempt status is verified by the </w:t>
      </w:r>
      <w:r w:rsidR="0054148A" w:rsidRPr="00F647AA">
        <w:t>Biosafety Officer</w:t>
      </w:r>
      <w:r w:rsidRPr="00F647AA">
        <w:t xml:space="preserve"> you will receive a confirmation letter from the</w:t>
      </w:r>
      <w:r w:rsidR="00C7622C" w:rsidRPr="00F647AA">
        <w:t xml:space="preserve"> </w:t>
      </w:r>
      <w:r w:rsidRPr="00F647AA">
        <w:t>Office</w:t>
      </w:r>
      <w:r w:rsidR="00C7622C" w:rsidRPr="00F647AA">
        <w:t xml:space="preserve"> of Research Administration</w:t>
      </w:r>
      <w:r w:rsidRPr="00F647AA">
        <w:t xml:space="preserve">. </w:t>
      </w:r>
      <w:r w:rsidR="00983374" w:rsidRPr="00F647AA">
        <w:t xml:space="preserve"> An amended form </w:t>
      </w:r>
      <w:r w:rsidR="001029B9" w:rsidRPr="00F647AA">
        <w:t xml:space="preserve">MUST </w:t>
      </w:r>
      <w:r w:rsidR="00983374" w:rsidRPr="00F647AA">
        <w:t xml:space="preserve">be provided for project changes altering your </w:t>
      </w:r>
      <w:r w:rsidR="001029B9" w:rsidRPr="00F647AA">
        <w:t xml:space="preserve">original </w:t>
      </w:r>
      <w:r w:rsidR="00983374" w:rsidRPr="00F647AA">
        <w:t>response</w:t>
      </w:r>
      <w:r w:rsidR="001029B9" w:rsidRPr="00F647AA">
        <w:t>s</w:t>
      </w:r>
      <w:r w:rsidR="00983374" w:rsidRPr="00F647AA">
        <w:t xml:space="preserve"> to the below questionnaire.</w:t>
      </w:r>
    </w:p>
    <w:p w14:paraId="3E7E70AC" w14:textId="1B7DC1E2" w:rsidR="0054148A" w:rsidRPr="00F647AA" w:rsidRDefault="007B5743" w:rsidP="00143288">
      <w:r w:rsidRPr="00F647AA">
        <w:rPr>
          <w:u w:val="single"/>
        </w:rPr>
        <w:t>Risk Assessment</w:t>
      </w:r>
      <w:r w:rsidRPr="00F647AA">
        <w:t>: Please review NIH Guidelines to determine if any of the materials used in your study fall into a “Risk Group” (</w:t>
      </w:r>
      <w:hyperlink r:id="rId10" w:anchor="_Toc351276291" w:history="1">
        <w:r w:rsidRPr="00F647AA">
          <w:rPr>
            <w:rStyle w:val="Hyperlink"/>
          </w:rPr>
          <w:t>Appendix B</w:t>
        </w:r>
      </w:hyperlink>
      <w:r w:rsidRPr="00F647AA">
        <w:t xml:space="preserve">) or is identified as a </w:t>
      </w:r>
      <w:hyperlink r:id="rId11" w:history="1">
        <w:r w:rsidRPr="00F647AA">
          <w:rPr>
            <w:rStyle w:val="Hyperlink"/>
          </w:rPr>
          <w:t>Select Agent</w:t>
        </w:r>
      </w:hyperlink>
      <w:r w:rsidRPr="00F647AA">
        <w:t xml:space="preserve">. </w:t>
      </w:r>
      <w:r w:rsidR="001029B9" w:rsidRPr="00F647AA">
        <w:t>It should be noted that w</w:t>
      </w:r>
      <w:r w:rsidR="00C7622C" w:rsidRPr="00F647AA">
        <w:t xml:space="preserve">ork with </w:t>
      </w:r>
      <w:r w:rsidR="00DC19DE">
        <w:t xml:space="preserve">RG2 or </w:t>
      </w:r>
      <w:r w:rsidR="00C7622C" w:rsidRPr="00F647AA">
        <w:t xml:space="preserve">select agents </w:t>
      </w:r>
      <w:r w:rsidR="001029B9" w:rsidRPr="00F647AA">
        <w:t>is NOT</w:t>
      </w:r>
      <w:r w:rsidR="00C7622C" w:rsidRPr="00F647AA">
        <w:t xml:space="preserve"> exempt. </w:t>
      </w:r>
    </w:p>
    <w:p w14:paraId="13B53D38" w14:textId="62CC2B4B" w:rsidR="0054148A" w:rsidRPr="00F647AA" w:rsidRDefault="009C0C0B" w:rsidP="00143288">
      <w:r w:rsidRPr="00F647AA">
        <w:t xml:space="preserve">Please check any of the below boxes which may apply to your project. </w:t>
      </w:r>
    </w:p>
    <w:p w14:paraId="2AFA52CE" w14:textId="7AB03C1E" w:rsidR="0054148A" w:rsidRPr="00F647AA" w:rsidRDefault="00D676A5" w:rsidP="00F647AA">
      <w:pPr>
        <w:spacing w:line="240" w:lineRule="auto"/>
        <w:ind w:left="360"/>
      </w:pPr>
      <w:sdt>
        <w:sdtPr>
          <w:id w:val="-744414132"/>
          <w14:checkbox>
            <w14:checked w14:val="0"/>
            <w14:checkedState w14:val="2612" w14:font="MS Gothic"/>
            <w14:uncheckedState w14:val="2610" w14:font="MS Gothic"/>
          </w14:checkbox>
        </w:sdtPr>
        <w:sdtEndPr/>
        <w:sdtContent>
          <w:r w:rsidR="00580F67">
            <w:rPr>
              <w:rFonts w:ascii="MS Gothic" w:eastAsia="MS Gothic" w:hAnsi="MS Gothic" w:hint="eastAsia"/>
            </w:rPr>
            <w:t>☐</w:t>
          </w:r>
        </w:sdtContent>
      </w:sdt>
      <w:r w:rsidR="00034EC2" w:rsidRPr="00F647AA">
        <w:t>I will g</w:t>
      </w:r>
      <w:r w:rsidR="0054148A" w:rsidRPr="00F647AA">
        <w:t>enerates more than 10 liters of culture</w:t>
      </w:r>
      <w:r w:rsidR="00034EC2" w:rsidRPr="00F647AA">
        <w:t>.</w:t>
      </w:r>
    </w:p>
    <w:p w14:paraId="60476AEC" w14:textId="42C43C78" w:rsidR="0054148A" w:rsidRPr="00F647AA" w:rsidRDefault="00D676A5" w:rsidP="00F647AA">
      <w:pPr>
        <w:spacing w:line="240" w:lineRule="auto"/>
        <w:ind w:left="360"/>
      </w:pPr>
      <w:sdt>
        <w:sdtPr>
          <w:id w:val="-1081668302"/>
          <w14:checkbox>
            <w14:checked w14:val="0"/>
            <w14:checkedState w14:val="2612" w14:font="MS Gothic"/>
            <w14:uncheckedState w14:val="2610" w14:font="MS Gothic"/>
          </w14:checkbox>
        </w:sdtPr>
        <w:sdtEndPr/>
        <w:sdtContent>
          <w:r w:rsidR="00F647AA">
            <w:rPr>
              <w:rFonts w:ascii="MS Gothic" w:eastAsia="MS Gothic" w:hAnsi="MS Gothic" w:hint="eastAsia"/>
            </w:rPr>
            <w:t>☐</w:t>
          </w:r>
        </w:sdtContent>
      </w:sdt>
      <w:r w:rsidR="00034EC2" w:rsidRPr="00F647AA">
        <w:t>T</w:t>
      </w:r>
      <w:r w:rsidR="0054148A" w:rsidRPr="00F647AA">
        <w:t>he viral construct</w:t>
      </w:r>
      <w:r w:rsidR="00034EC2" w:rsidRPr="00F647AA">
        <w:t xml:space="preserve"> is</w:t>
      </w:r>
      <w:r w:rsidR="0054148A" w:rsidRPr="00F647AA">
        <w:t xml:space="preserve"> from DNA a risk group 3, 4 or a select agent</w:t>
      </w:r>
    </w:p>
    <w:p w14:paraId="2EDDC184" w14:textId="06BC23C4" w:rsidR="0054148A" w:rsidRPr="00F647AA" w:rsidRDefault="00D676A5" w:rsidP="00F647AA">
      <w:pPr>
        <w:spacing w:line="240" w:lineRule="auto"/>
        <w:ind w:left="360"/>
      </w:pPr>
      <w:sdt>
        <w:sdtPr>
          <w:id w:val="-609432716"/>
          <w14:checkbox>
            <w14:checked w14:val="0"/>
            <w14:checkedState w14:val="2612" w14:font="MS Gothic"/>
            <w14:uncheckedState w14:val="2610" w14:font="MS Gothic"/>
          </w14:checkbox>
        </w:sdtPr>
        <w:sdtEndPr/>
        <w:sdtContent>
          <w:r w:rsidR="008148B4">
            <w:rPr>
              <w:rFonts w:ascii="MS Gothic" w:eastAsia="MS Gothic" w:hAnsi="MS Gothic" w:hint="eastAsia"/>
            </w:rPr>
            <w:t>☐</w:t>
          </w:r>
        </w:sdtContent>
      </w:sdt>
      <w:r w:rsidR="00034EC2" w:rsidRPr="00F647AA">
        <w:t>I will g</w:t>
      </w:r>
      <w:r w:rsidR="0054148A" w:rsidRPr="00F647AA">
        <w:t>enerates toxic products or oncogenes lethal for vertebrates</w:t>
      </w:r>
    </w:p>
    <w:p w14:paraId="0C55C05E" w14:textId="7998B6BC" w:rsidR="0054148A" w:rsidRPr="00F647AA" w:rsidRDefault="00D676A5" w:rsidP="00F647AA">
      <w:pPr>
        <w:spacing w:line="240" w:lineRule="auto"/>
        <w:ind w:left="360"/>
      </w:pPr>
      <w:sdt>
        <w:sdtPr>
          <w:id w:val="-1644951480"/>
          <w14:checkbox>
            <w14:checked w14:val="0"/>
            <w14:checkedState w14:val="2612" w14:font="MS Gothic"/>
            <w14:uncheckedState w14:val="2610" w14:font="MS Gothic"/>
          </w14:checkbox>
        </w:sdtPr>
        <w:sdtEndPr/>
        <w:sdtContent>
          <w:r w:rsidR="00F647AA">
            <w:rPr>
              <w:rFonts w:ascii="MS Gothic" w:eastAsia="MS Gothic" w:hAnsi="MS Gothic" w:hint="eastAsia"/>
            </w:rPr>
            <w:t>☐</w:t>
          </w:r>
        </w:sdtContent>
      </w:sdt>
      <w:r w:rsidR="00034EC2" w:rsidRPr="00F647AA">
        <w:t>Will c</w:t>
      </w:r>
      <w:r w:rsidR="0054148A" w:rsidRPr="00F647AA">
        <w:t>ontains viral DNA from more than 2/3 of any eukaryotic viral genome</w:t>
      </w:r>
    </w:p>
    <w:p w14:paraId="50C1A0B4" w14:textId="3241BAB6" w:rsidR="0054148A" w:rsidRPr="00F647AA" w:rsidRDefault="00D676A5" w:rsidP="00F647AA">
      <w:pPr>
        <w:spacing w:line="240" w:lineRule="auto"/>
        <w:ind w:left="360"/>
      </w:pPr>
      <w:sdt>
        <w:sdtPr>
          <w:id w:val="-1751105684"/>
          <w14:checkbox>
            <w14:checked w14:val="0"/>
            <w14:checkedState w14:val="2612" w14:font="MS Gothic"/>
            <w14:uncheckedState w14:val="2610" w14:font="MS Gothic"/>
          </w14:checkbox>
        </w:sdtPr>
        <w:sdtEndPr/>
        <w:sdtContent>
          <w:r w:rsidR="00F647AA">
            <w:rPr>
              <w:rFonts w:ascii="MS Gothic" w:eastAsia="MS Gothic" w:hAnsi="MS Gothic" w:hint="eastAsia"/>
            </w:rPr>
            <w:t>☐</w:t>
          </w:r>
        </w:sdtContent>
      </w:sdt>
      <w:r w:rsidR="0054148A" w:rsidRPr="00F647AA">
        <w:t>Involves the transfer of rDNA into human subjects</w:t>
      </w:r>
    </w:p>
    <w:p w14:paraId="2F3EE8F7" w14:textId="6ECC83B5" w:rsidR="0054148A" w:rsidRPr="00F647AA" w:rsidRDefault="00D676A5" w:rsidP="00F647AA">
      <w:pPr>
        <w:spacing w:line="240" w:lineRule="auto"/>
        <w:ind w:left="360"/>
      </w:pPr>
      <w:sdt>
        <w:sdtPr>
          <w:id w:val="1509482316"/>
          <w14:checkbox>
            <w14:checked w14:val="0"/>
            <w14:checkedState w14:val="2612" w14:font="MS Gothic"/>
            <w14:uncheckedState w14:val="2610" w14:font="MS Gothic"/>
          </w14:checkbox>
        </w:sdtPr>
        <w:sdtEndPr/>
        <w:sdtContent>
          <w:r w:rsidR="00F647AA">
            <w:rPr>
              <w:rFonts w:ascii="MS Gothic" w:eastAsia="MS Gothic" w:hAnsi="MS Gothic" w:hint="eastAsia"/>
            </w:rPr>
            <w:t>☐</w:t>
          </w:r>
        </w:sdtContent>
      </w:sdt>
      <w:r w:rsidR="0054148A" w:rsidRPr="00F647AA">
        <w:t>Involves the generation of transgenic animals or plants</w:t>
      </w:r>
    </w:p>
    <w:p w14:paraId="742D6982" w14:textId="3C4D158D" w:rsidR="009C0C0B" w:rsidRDefault="009C0C0B" w:rsidP="00740EE5">
      <w:r w:rsidRPr="002C0ADD">
        <w:rPr>
          <w:b/>
        </w:rPr>
        <w:t xml:space="preserve">If you checked any of the above boxes, your project is </w:t>
      </w:r>
      <w:r w:rsidR="00DC19DE" w:rsidRPr="002C0ADD">
        <w:rPr>
          <w:b/>
        </w:rPr>
        <w:t xml:space="preserve">NOT </w:t>
      </w:r>
      <w:r w:rsidRPr="002C0ADD">
        <w:rPr>
          <w:b/>
        </w:rPr>
        <w:t>exempt</w:t>
      </w:r>
      <w:r>
        <w:t xml:space="preserve">. Please </w:t>
      </w:r>
      <w:r w:rsidR="00B2522B">
        <w:t xml:space="preserve">submit an IBC application in RAM. If you are amending an IBC application please </w:t>
      </w:r>
      <w:r>
        <w:t>contact Dr. Judette Haddad at extension 4898 or email had</w:t>
      </w:r>
      <w:r w:rsidR="00991D48">
        <w:t>d</w:t>
      </w:r>
      <w:r>
        <w:t>ad@oakland.edu</w:t>
      </w:r>
      <w:r w:rsidR="00B2522B">
        <w:t>.</w:t>
      </w:r>
      <w:r w:rsidRPr="009C0C0B">
        <w:t xml:space="preserve"> </w:t>
      </w:r>
    </w:p>
    <w:p w14:paraId="083A9E39" w14:textId="77777777" w:rsidR="0041428A" w:rsidRDefault="009C0C0B" w:rsidP="00740EE5">
      <w:pPr>
        <w:rPr>
          <w:b/>
        </w:rPr>
      </w:pPr>
      <w:r>
        <w:t xml:space="preserve">If you checked </w:t>
      </w:r>
      <w:r w:rsidRPr="00740EE5">
        <w:rPr>
          <w:u w:val="single"/>
        </w:rPr>
        <w:t>none</w:t>
      </w:r>
      <w:r>
        <w:t xml:space="preserve"> of the above boxes</w:t>
      </w:r>
      <w:r w:rsidR="00991D48">
        <w:t>,</w:t>
      </w:r>
      <w:r>
        <w:t xml:space="preserve"> please continue completing this form. </w:t>
      </w:r>
      <w:r w:rsidR="00240F63">
        <w:t>In most cases, exemptions for rDNA work fall under Section III-F of the NIH Guidelines. IBC registration would not be required, but review and assessment by the Biosafety Officer and the Office of Research Administration would still be required. All exempted work must still be conducted at Biosafety Level 1 containment.</w:t>
      </w:r>
      <w:r>
        <w:t xml:space="preserve"> </w:t>
      </w:r>
      <w:r w:rsidR="0041428A">
        <w:br/>
      </w:r>
    </w:p>
    <w:p w14:paraId="66B68CDD" w14:textId="77777777" w:rsidR="0041428A" w:rsidRDefault="0041428A">
      <w:pPr>
        <w:rPr>
          <w:b/>
        </w:rPr>
      </w:pPr>
      <w:r>
        <w:rPr>
          <w:b/>
        </w:rPr>
        <w:br w:type="page"/>
      </w:r>
    </w:p>
    <w:tbl>
      <w:tblPr>
        <w:tblStyle w:val="TableGrid"/>
        <w:tblW w:w="0" w:type="auto"/>
        <w:tblLook w:val="04A0" w:firstRow="1" w:lastRow="0" w:firstColumn="1" w:lastColumn="0" w:noHBand="0" w:noVBand="1"/>
      </w:tblPr>
      <w:tblGrid>
        <w:gridCol w:w="10790"/>
      </w:tblGrid>
      <w:tr w:rsidR="0041428A" w:rsidRPr="0041428A" w14:paraId="43CA40F2" w14:textId="77777777" w:rsidTr="0041428A">
        <w:tc>
          <w:tcPr>
            <w:tcW w:w="10790" w:type="dxa"/>
          </w:tcPr>
          <w:p w14:paraId="1D0429F4" w14:textId="77777777" w:rsidR="0041428A" w:rsidRPr="0041428A" w:rsidRDefault="0041428A" w:rsidP="002C0568">
            <w:r w:rsidRPr="0041428A">
              <w:rPr>
                <w:b/>
              </w:rPr>
              <w:t>Project Title:</w:t>
            </w:r>
            <w:r w:rsidRPr="0041428A">
              <w:t xml:space="preserve"> </w:t>
            </w:r>
          </w:p>
        </w:tc>
      </w:tr>
    </w:tbl>
    <w:tbl>
      <w:tblPr>
        <w:tblStyle w:val="LightShading-Accent5"/>
        <w:tblpPr w:leftFromText="180" w:rightFromText="180" w:vertAnchor="text" w:horzAnchor="margin" w:tblpY="126"/>
        <w:tblW w:w="10800" w:type="dxa"/>
        <w:tblLook w:val="04A0" w:firstRow="1" w:lastRow="0" w:firstColumn="1" w:lastColumn="0" w:noHBand="0" w:noVBand="1"/>
      </w:tblPr>
      <w:tblGrid>
        <w:gridCol w:w="2366"/>
        <w:gridCol w:w="874"/>
        <w:gridCol w:w="900"/>
        <w:gridCol w:w="1260"/>
        <w:gridCol w:w="900"/>
        <w:gridCol w:w="990"/>
        <w:gridCol w:w="1418"/>
        <w:gridCol w:w="2092"/>
      </w:tblGrid>
      <w:tr w:rsidR="00034EC2" w14:paraId="05144AC3" w14:textId="77777777" w:rsidTr="004142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6" w:type="dxa"/>
            <w:tcBorders>
              <w:top w:val="single" w:sz="4" w:space="0" w:color="auto"/>
              <w:left w:val="single" w:sz="4" w:space="0" w:color="auto"/>
              <w:bottom w:val="single" w:sz="4" w:space="0" w:color="auto"/>
              <w:right w:val="single" w:sz="4" w:space="0" w:color="auto"/>
            </w:tcBorders>
            <w:vAlign w:val="bottom"/>
          </w:tcPr>
          <w:p w14:paraId="0C45CBC9" w14:textId="77777777" w:rsidR="00034EC2" w:rsidRPr="008148B4" w:rsidRDefault="00034EC2" w:rsidP="008148B4">
            <w:pPr>
              <w:tabs>
                <w:tab w:val="right" w:pos="4328"/>
              </w:tabs>
              <w:rPr>
                <w:bCs w:val="0"/>
              </w:rPr>
            </w:pPr>
            <w:r w:rsidRPr="008148B4">
              <w:rPr>
                <w:rFonts w:ascii="Calibri" w:eastAsia="Times New Roman" w:hAnsi="Calibri" w:cs="Times New Roman"/>
                <w:color w:val="000000"/>
                <w:sz w:val="16"/>
                <w:szCs w:val="16"/>
              </w:rPr>
              <w:t>Recombinant Vector (Bacterial Plasmid, Naked DNA/RNA,)</w:t>
            </w:r>
          </w:p>
        </w:tc>
        <w:tc>
          <w:tcPr>
            <w:tcW w:w="874" w:type="dxa"/>
            <w:tcBorders>
              <w:top w:val="single" w:sz="4" w:space="0" w:color="auto"/>
              <w:left w:val="single" w:sz="4" w:space="0" w:color="auto"/>
              <w:bottom w:val="single" w:sz="4" w:space="0" w:color="auto"/>
              <w:right w:val="single" w:sz="4" w:space="0" w:color="auto"/>
            </w:tcBorders>
            <w:vAlign w:val="bottom"/>
          </w:tcPr>
          <w:p w14:paraId="6CA78A4D" w14:textId="77777777" w:rsidR="00034EC2" w:rsidRPr="008148B4" w:rsidRDefault="00034EC2" w:rsidP="00034EC2">
            <w:pPr>
              <w:tabs>
                <w:tab w:val="right" w:pos="4328"/>
              </w:tabs>
              <w:jc w:val="center"/>
              <w:cnfStyle w:val="100000000000" w:firstRow="1" w:lastRow="0" w:firstColumn="0" w:lastColumn="0" w:oddVBand="0" w:evenVBand="0" w:oddHBand="0" w:evenHBand="0" w:firstRowFirstColumn="0" w:firstRowLastColumn="0" w:lastRowFirstColumn="0" w:lastRowLastColumn="0"/>
              <w:rPr>
                <w:b w:val="0"/>
                <w:bCs w:val="0"/>
              </w:rPr>
            </w:pPr>
            <w:r w:rsidRPr="008148B4">
              <w:rPr>
                <w:rFonts w:ascii="Calibri" w:eastAsia="Times New Roman" w:hAnsi="Calibri" w:cs="Times New Roman"/>
                <w:color w:val="000000"/>
                <w:sz w:val="16"/>
                <w:szCs w:val="16"/>
              </w:rPr>
              <w:t>Promoter Tropism</w:t>
            </w:r>
          </w:p>
        </w:tc>
        <w:tc>
          <w:tcPr>
            <w:tcW w:w="900" w:type="dxa"/>
            <w:tcBorders>
              <w:top w:val="single" w:sz="4" w:space="0" w:color="auto"/>
              <w:left w:val="single" w:sz="4" w:space="0" w:color="auto"/>
              <w:bottom w:val="single" w:sz="4" w:space="0" w:color="auto"/>
              <w:right w:val="single" w:sz="4" w:space="0" w:color="auto"/>
            </w:tcBorders>
            <w:vAlign w:val="bottom"/>
          </w:tcPr>
          <w:p w14:paraId="72719339" w14:textId="77777777" w:rsidR="00034EC2" w:rsidRPr="008148B4" w:rsidRDefault="00034EC2" w:rsidP="00034EC2">
            <w:pPr>
              <w:tabs>
                <w:tab w:val="right" w:pos="4328"/>
              </w:tabs>
              <w:jc w:val="center"/>
              <w:cnfStyle w:val="100000000000" w:firstRow="1" w:lastRow="0" w:firstColumn="0" w:lastColumn="0" w:oddVBand="0" w:evenVBand="0" w:oddHBand="0" w:evenHBand="0" w:firstRowFirstColumn="0" w:firstRowLastColumn="0" w:lastRowFirstColumn="0" w:lastRowLastColumn="0"/>
              <w:rPr>
                <w:b w:val="0"/>
                <w:bCs w:val="0"/>
              </w:rPr>
            </w:pPr>
            <w:r w:rsidRPr="008148B4">
              <w:rPr>
                <w:rFonts w:ascii="Calibri" w:eastAsia="Times New Roman" w:hAnsi="Calibri" w:cs="Times New Roman"/>
                <w:color w:val="000000"/>
                <w:sz w:val="16"/>
                <w:szCs w:val="16"/>
              </w:rPr>
              <w:t>Proposed Insert or Gene</w:t>
            </w:r>
          </w:p>
        </w:tc>
        <w:tc>
          <w:tcPr>
            <w:tcW w:w="1260" w:type="dxa"/>
            <w:tcBorders>
              <w:top w:val="single" w:sz="4" w:space="0" w:color="auto"/>
              <w:left w:val="single" w:sz="4" w:space="0" w:color="auto"/>
              <w:bottom w:val="single" w:sz="4" w:space="0" w:color="auto"/>
              <w:right w:val="single" w:sz="4" w:space="0" w:color="auto"/>
            </w:tcBorders>
            <w:vAlign w:val="bottom"/>
          </w:tcPr>
          <w:p w14:paraId="0A29D73D" w14:textId="2DEC930B" w:rsidR="00034EC2" w:rsidRDefault="00034EC2" w:rsidP="008148B4">
            <w:pPr>
              <w:tabs>
                <w:tab w:val="right" w:pos="4328"/>
              </w:tabs>
              <w:jc w:val="center"/>
              <w:cnfStyle w:val="100000000000" w:firstRow="1" w:lastRow="0" w:firstColumn="0" w:lastColumn="0" w:oddVBand="0" w:evenVBand="0" w:oddHBand="0" w:evenHBand="0" w:firstRowFirstColumn="0" w:firstRowLastColumn="0" w:lastRowFirstColumn="0" w:lastRowLastColumn="0"/>
              <w:rPr>
                <w:b w:val="0"/>
                <w:bCs w:val="0"/>
              </w:rPr>
            </w:pPr>
            <w:r w:rsidRPr="008148B4">
              <w:rPr>
                <w:rFonts w:ascii="Calibri" w:eastAsia="Times New Roman" w:hAnsi="Calibri" w:cs="Times New Roman"/>
                <w:color w:val="000000"/>
                <w:sz w:val="14"/>
                <w:szCs w:val="16"/>
              </w:rPr>
              <w:t xml:space="preserve">Insert Function </w:t>
            </w:r>
            <w:r w:rsidRPr="0041428A">
              <w:rPr>
                <w:rFonts w:ascii="Calibri" w:eastAsia="Times New Roman" w:hAnsi="Calibri" w:cs="Times New Roman"/>
                <w:b w:val="0"/>
                <w:color w:val="000000"/>
                <w:sz w:val="14"/>
                <w:szCs w:val="16"/>
              </w:rPr>
              <w:t>(</w:t>
            </w:r>
            <w:r w:rsidR="008148B4" w:rsidRPr="0041428A">
              <w:rPr>
                <w:rFonts w:ascii="Calibri" w:eastAsia="Times New Roman" w:hAnsi="Calibri" w:cs="Times New Roman"/>
                <w:b w:val="0"/>
                <w:color w:val="000000"/>
                <w:sz w:val="14"/>
                <w:szCs w:val="16"/>
              </w:rPr>
              <w:t>Ex: structural protein, oncogene, transporter, etc.</w:t>
            </w:r>
            <w:r w:rsidRPr="0041428A">
              <w:rPr>
                <w:rFonts w:ascii="Calibri" w:eastAsia="Times New Roman" w:hAnsi="Calibri" w:cs="Times New Roman"/>
                <w:b w:val="0"/>
                <w:color w:val="000000"/>
                <w:sz w:val="14"/>
                <w:szCs w:val="16"/>
              </w:rPr>
              <w:t>)</w:t>
            </w:r>
          </w:p>
        </w:tc>
        <w:tc>
          <w:tcPr>
            <w:tcW w:w="900" w:type="dxa"/>
            <w:tcBorders>
              <w:top w:val="single" w:sz="4" w:space="0" w:color="auto"/>
              <w:left w:val="single" w:sz="4" w:space="0" w:color="auto"/>
              <w:bottom w:val="single" w:sz="4" w:space="0" w:color="auto"/>
              <w:right w:val="single" w:sz="4" w:space="0" w:color="auto"/>
            </w:tcBorders>
            <w:vAlign w:val="bottom"/>
          </w:tcPr>
          <w:p w14:paraId="0232F76F" w14:textId="77777777" w:rsidR="00034EC2" w:rsidRPr="008148B4" w:rsidRDefault="00034EC2" w:rsidP="00034EC2">
            <w:pPr>
              <w:tabs>
                <w:tab w:val="right" w:pos="4328"/>
              </w:tabs>
              <w:jc w:val="center"/>
              <w:cnfStyle w:val="100000000000" w:firstRow="1" w:lastRow="0" w:firstColumn="0" w:lastColumn="0" w:oddVBand="0" w:evenVBand="0" w:oddHBand="0" w:evenHBand="0" w:firstRowFirstColumn="0" w:firstRowLastColumn="0" w:lastRowFirstColumn="0" w:lastRowLastColumn="0"/>
              <w:rPr>
                <w:b w:val="0"/>
                <w:bCs w:val="0"/>
              </w:rPr>
            </w:pPr>
            <w:r w:rsidRPr="008148B4">
              <w:rPr>
                <w:rFonts w:ascii="Calibri" w:eastAsia="Times New Roman" w:hAnsi="Calibri" w:cs="Times New Roman"/>
                <w:color w:val="000000"/>
                <w:sz w:val="16"/>
                <w:szCs w:val="16"/>
              </w:rPr>
              <w:t>Vendor</w:t>
            </w:r>
          </w:p>
        </w:tc>
        <w:tc>
          <w:tcPr>
            <w:tcW w:w="990" w:type="dxa"/>
            <w:tcBorders>
              <w:top w:val="single" w:sz="4" w:space="0" w:color="auto"/>
              <w:left w:val="single" w:sz="4" w:space="0" w:color="auto"/>
              <w:bottom w:val="single" w:sz="4" w:space="0" w:color="auto"/>
              <w:right w:val="single" w:sz="4" w:space="0" w:color="auto"/>
            </w:tcBorders>
            <w:vAlign w:val="bottom"/>
          </w:tcPr>
          <w:p w14:paraId="784B209B" w14:textId="77777777" w:rsidR="00034EC2" w:rsidRPr="008148B4" w:rsidRDefault="00034EC2" w:rsidP="00034EC2">
            <w:pPr>
              <w:tabs>
                <w:tab w:val="right" w:pos="4328"/>
              </w:tabs>
              <w:jc w:val="center"/>
              <w:cnfStyle w:val="100000000000" w:firstRow="1" w:lastRow="0" w:firstColumn="0" w:lastColumn="0" w:oddVBand="0" w:evenVBand="0" w:oddHBand="0" w:evenHBand="0" w:firstRowFirstColumn="0" w:firstRowLastColumn="0" w:lastRowFirstColumn="0" w:lastRowLastColumn="0"/>
              <w:rPr>
                <w:b w:val="0"/>
                <w:bCs w:val="0"/>
              </w:rPr>
            </w:pPr>
            <w:r w:rsidRPr="008148B4">
              <w:rPr>
                <w:rFonts w:ascii="Calibri" w:eastAsia="Times New Roman" w:hAnsi="Calibri" w:cs="Times New Roman"/>
                <w:color w:val="000000"/>
                <w:sz w:val="16"/>
                <w:szCs w:val="16"/>
              </w:rPr>
              <w:t>Cat #</w:t>
            </w:r>
          </w:p>
        </w:tc>
        <w:tc>
          <w:tcPr>
            <w:tcW w:w="1418" w:type="dxa"/>
            <w:tcBorders>
              <w:top w:val="single" w:sz="4" w:space="0" w:color="auto"/>
              <w:left w:val="single" w:sz="4" w:space="0" w:color="auto"/>
              <w:bottom w:val="single" w:sz="4" w:space="0" w:color="auto"/>
              <w:right w:val="single" w:sz="4" w:space="0" w:color="auto"/>
            </w:tcBorders>
            <w:vAlign w:val="bottom"/>
          </w:tcPr>
          <w:p w14:paraId="752EDEDB" w14:textId="77777777" w:rsidR="00034EC2" w:rsidRPr="008148B4" w:rsidRDefault="00034EC2" w:rsidP="00034EC2">
            <w:pPr>
              <w:tabs>
                <w:tab w:val="right" w:pos="4328"/>
              </w:tabs>
              <w:jc w:val="center"/>
              <w:cnfStyle w:val="100000000000" w:firstRow="1" w:lastRow="0" w:firstColumn="0" w:lastColumn="0" w:oddVBand="0" w:evenVBand="0" w:oddHBand="0" w:evenHBand="0" w:firstRowFirstColumn="0" w:firstRowLastColumn="0" w:lastRowFirstColumn="0" w:lastRowLastColumn="0"/>
              <w:rPr>
                <w:b w:val="0"/>
                <w:bCs w:val="0"/>
              </w:rPr>
            </w:pPr>
            <w:r w:rsidRPr="008148B4">
              <w:rPr>
                <w:rFonts w:ascii="Calibri" w:eastAsia="Times New Roman" w:hAnsi="Calibri" w:cs="Times New Roman"/>
                <w:color w:val="000000"/>
                <w:sz w:val="16"/>
                <w:szCs w:val="16"/>
              </w:rPr>
              <w:t>Purpose</w:t>
            </w:r>
          </w:p>
        </w:tc>
        <w:tc>
          <w:tcPr>
            <w:tcW w:w="2092" w:type="dxa"/>
            <w:tcBorders>
              <w:top w:val="single" w:sz="4" w:space="0" w:color="auto"/>
              <w:left w:val="single" w:sz="4" w:space="0" w:color="auto"/>
              <w:bottom w:val="single" w:sz="4" w:space="0" w:color="auto"/>
              <w:right w:val="single" w:sz="4" w:space="0" w:color="auto"/>
            </w:tcBorders>
            <w:vAlign w:val="bottom"/>
          </w:tcPr>
          <w:p w14:paraId="222874C4" w14:textId="77777777" w:rsidR="00034EC2" w:rsidRPr="008148B4" w:rsidRDefault="00034EC2" w:rsidP="008148B4">
            <w:pPr>
              <w:tabs>
                <w:tab w:val="right" w:pos="4328"/>
              </w:tabs>
              <w:cnfStyle w:val="100000000000" w:firstRow="1" w:lastRow="0" w:firstColumn="0" w:lastColumn="0" w:oddVBand="0" w:evenVBand="0" w:oddHBand="0" w:evenHBand="0" w:firstRowFirstColumn="0" w:firstRowLastColumn="0" w:lastRowFirstColumn="0" w:lastRowLastColumn="0"/>
              <w:rPr>
                <w:b w:val="0"/>
              </w:rPr>
            </w:pPr>
            <w:r w:rsidRPr="008148B4">
              <w:rPr>
                <w:rFonts w:ascii="Calibri" w:eastAsia="Times New Roman" w:hAnsi="Calibri" w:cs="Times New Roman"/>
                <w:color w:val="000000"/>
                <w:sz w:val="16"/>
                <w:szCs w:val="16"/>
              </w:rPr>
              <w:t>Briefly describe risks to researchers if exposed to viral vector, gene(s), and/or construct(s):</w:t>
            </w:r>
          </w:p>
        </w:tc>
      </w:tr>
      <w:tr w:rsidR="00034EC2" w14:paraId="2529FAFC" w14:textId="77777777" w:rsidTr="00414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6" w:type="dxa"/>
            <w:tcBorders>
              <w:top w:val="single" w:sz="4" w:space="0" w:color="auto"/>
              <w:left w:val="single" w:sz="4" w:space="0" w:color="auto"/>
              <w:bottom w:val="single" w:sz="4" w:space="0" w:color="auto"/>
              <w:right w:val="single" w:sz="4" w:space="0" w:color="auto"/>
            </w:tcBorders>
            <w:vAlign w:val="bottom"/>
          </w:tcPr>
          <w:p w14:paraId="7684E038" w14:textId="476CE21C" w:rsidR="00034EC2" w:rsidRPr="00BC0D94" w:rsidRDefault="00034EC2" w:rsidP="008148B4">
            <w:pPr>
              <w:tabs>
                <w:tab w:val="right" w:pos="4328"/>
              </w:tabs>
              <w:rPr>
                <w:rFonts w:ascii="Calibri" w:eastAsia="Times New Roman" w:hAnsi="Calibri" w:cs="Times New Roman"/>
                <w:bCs w:val="0"/>
                <w:color w:val="000000"/>
                <w:sz w:val="16"/>
                <w:szCs w:val="16"/>
              </w:rPr>
            </w:pPr>
          </w:p>
        </w:tc>
        <w:tc>
          <w:tcPr>
            <w:tcW w:w="874" w:type="dxa"/>
            <w:tcBorders>
              <w:top w:val="single" w:sz="4" w:space="0" w:color="auto"/>
              <w:left w:val="single" w:sz="4" w:space="0" w:color="auto"/>
              <w:bottom w:val="single" w:sz="4" w:space="0" w:color="auto"/>
              <w:right w:val="single" w:sz="4" w:space="0" w:color="auto"/>
            </w:tcBorders>
            <w:vAlign w:val="bottom"/>
          </w:tcPr>
          <w:p w14:paraId="629ACC30" w14:textId="767B181F" w:rsidR="00034EC2" w:rsidRPr="00BC0D94" w:rsidRDefault="00034EC2" w:rsidP="008148B4">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6798336A" w14:textId="77777777" w:rsidR="00034EC2" w:rsidRPr="00BC0D94" w:rsidRDefault="00034EC2"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vAlign w:val="bottom"/>
          </w:tcPr>
          <w:p w14:paraId="54F94B83" w14:textId="77777777" w:rsidR="00034EC2" w:rsidRPr="00BC0D94" w:rsidRDefault="00034EC2"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7AD2D0E7" w14:textId="77777777" w:rsidR="00034EC2" w:rsidRPr="00BC0D94" w:rsidRDefault="00034EC2"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bottom"/>
          </w:tcPr>
          <w:p w14:paraId="04A538D7" w14:textId="77777777" w:rsidR="00034EC2" w:rsidRPr="00BC0D94" w:rsidRDefault="00034EC2"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bottom"/>
          </w:tcPr>
          <w:p w14:paraId="51823A97" w14:textId="77777777" w:rsidR="00034EC2" w:rsidRPr="00BC0D94" w:rsidRDefault="00034EC2"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vAlign w:val="bottom"/>
          </w:tcPr>
          <w:p w14:paraId="0C0E8C53" w14:textId="77777777" w:rsidR="00034EC2" w:rsidRPr="00BC0D94" w:rsidRDefault="00034EC2"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r>
      <w:tr w:rsidR="00034EC2" w14:paraId="21D738D1" w14:textId="77777777" w:rsidTr="0041428A">
        <w:tc>
          <w:tcPr>
            <w:cnfStyle w:val="001000000000" w:firstRow="0" w:lastRow="0" w:firstColumn="1" w:lastColumn="0" w:oddVBand="0" w:evenVBand="0" w:oddHBand="0" w:evenHBand="0" w:firstRowFirstColumn="0" w:firstRowLastColumn="0" w:lastRowFirstColumn="0" w:lastRowLastColumn="0"/>
            <w:tcW w:w="2366" w:type="dxa"/>
            <w:tcBorders>
              <w:top w:val="single" w:sz="4" w:space="0" w:color="auto"/>
              <w:left w:val="single" w:sz="4" w:space="0" w:color="auto"/>
              <w:bottom w:val="single" w:sz="4" w:space="0" w:color="auto"/>
              <w:right w:val="single" w:sz="4" w:space="0" w:color="auto"/>
            </w:tcBorders>
            <w:vAlign w:val="bottom"/>
          </w:tcPr>
          <w:p w14:paraId="568E5D2D" w14:textId="77777777" w:rsidR="00034EC2" w:rsidRPr="00BC0D94" w:rsidRDefault="00034EC2" w:rsidP="00034EC2">
            <w:pPr>
              <w:tabs>
                <w:tab w:val="right" w:pos="4328"/>
              </w:tabs>
              <w:rPr>
                <w:rFonts w:ascii="Calibri" w:eastAsia="Times New Roman" w:hAnsi="Calibri" w:cs="Times New Roman"/>
                <w:bCs w:val="0"/>
                <w:color w:val="000000"/>
                <w:sz w:val="16"/>
                <w:szCs w:val="16"/>
              </w:rPr>
            </w:pPr>
          </w:p>
        </w:tc>
        <w:tc>
          <w:tcPr>
            <w:tcW w:w="874" w:type="dxa"/>
            <w:tcBorders>
              <w:top w:val="single" w:sz="4" w:space="0" w:color="auto"/>
              <w:left w:val="single" w:sz="4" w:space="0" w:color="auto"/>
              <w:bottom w:val="single" w:sz="4" w:space="0" w:color="auto"/>
              <w:right w:val="single" w:sz="4" w:space="0" w:color="auto"/>
            </w:tcBorders>
            <w:vAlign w:val="bottom"/>
          </w:tcPr>
          <w:p w14:paraId="2E997A10" w14:textId="77777777" w:rsidR="00034EC2" w:rsidRPr="00BC0D94" w:rsidRDefault="00034EC2"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50EC952C" w14:textId="77777777" w:rsidR="00034EC2" w:rsidRPr="00BC0D94" w:rsidRDefault="00034EC2"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vAlign w:val="bottom"/>
          </w:tcPr>
          <w:p w14:paraId="1F239F44" w14:textId="77777777" w:rsidR="00034EC2" w:rsidRPr="00BC0D94" w:rsidRDefault="00034EC2"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34A1A4DB" w14:textId="77777777" w:rsidR="00034EC2" w:rsidRPr="00BC0D94" w:rsidRDefault="00034EC2"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bottom"/>
          </w:tcPr>
          <w:p w14:paraId="383E4565" w14:textId="77777777" w:rsidR="00034EC2" w:rsidRPr="00BC0D94" w:rsidRDefault="00034EC2"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bottom"/>
          </w:tcPr>
          <w:p w14:paraId="47F8F361" w14:textId="77777777" w:rsidR="00034EC2" w:rsidRPr="00BC0D94" w:rsidRDefault="00034EC2"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vAlign w:val="bottom"/>
          </w:tcPr>
          <w:p w14:paraId="349DB937" w14:textId="77777777" w:rsidR="00034EC2" w:rsidRPr="00BC0D94" w:rsidRDefault="00034EC2"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r>
      <w:tr w:rsidR="00034EC2" w14:paraId="50234448" w14:textId="77777777" w:rsidTr="00414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6" w:type="dxa"/>
            <w:tcBorders>
              <w:top w:val="single" w:sz="4" w:space="0" w:color="auto"/>
              <w:left w:val="single" w:sz="4" w:space="0" w:color="auto"/>
              <w:bottom w:val="single" w:sz="4" w:space="0" w:color="auto"/>
              <w:right w:val="single" w:sz="4" w:space="0" w:color="auto"/>
            </w:tcBorders>
            <w:vAlign w:val="bottom"/>
          </w:tcPr>
          <w:p w14:paraId="58AB687D" w14:textId="77777777" w:rsidR="00034EC2" w:rsidRPr="00BC0D94" w:rsidRDefault="00034EC2" w:rsidP="00034EC2">
            <w:pPr>
              <w:tabs>
                <w:tab w:val="right" w:pos="4328"/>
              </w:tabs>
              <w:rPr>
                <w:rFonts w:ascii="Calibri" w:eastAsia="Times New Roman" w:hAnsi="Calibri" w:cs="Times New Roman"/>
                <w:bCs w:val="0"/>
                <w:color w:val="000000"/>
                <w:sz w:val="16"/>
                <w:szCs w:val="16"/>
              </w:rPr>
            </w:pPr>
          </w:p>
        </w:tc>
        <w:tc>
          <w:tcPr>
            <w:tcW w:w="874" w:type="dxa"/>
            <w:tcBorders>
              <w:top w:val="single" w:sz="4" w:space="0" w:color="auto"/>
              <w:left w:val="single" w:sz="4" w:space="0" w:color="auto"/>
              <w:bottom w:val="single" w:sz="4" w:space="0" w:color="auto"/>
              <w:right w:val="single" w:sz="4" w:space="0" w:color="auto"/>
            </w:tcBorders>
            <w:vAlign w:val="bottom"/>
          </w:tcPr>
          <w:p w14:paraId="42D476F3" w14:textId="77777777" w:rsidR="00034EC2" w:rsidRPr="00BC0D94" w:rsidRDefault="00034EC2"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6BE42590" w14:textId="77777777" w:rsidR="00034EC2" w:rsidRPr="00BC0D94" w:rsidRDefault="00034EC2"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vAlign w:val="bottom"/>
          </w:tcPr>
          <w:p w14:paraId="2A81E49F" w14:textId="77777777" w:rsidR="00034EC2" w:rsidRPr="00BC0D94" w:rsidRDefault="00034EC2"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542C8366" w14:textId="77777777" w:rsidR="00034EC2" w:rsidRPr="00BC0D94" w:rsidRDefault="00034EC2"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bottom"/>
          </w:tcPr>
          <w:p w14:paraId="4AB9BF83" w14:textId="77777777" w:rsidR="00034EC2" w:rsidRPr="00BC0D94" w:rsidRDefault="00034EC2"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bottom"/>
          </w:tcPr>
          <w:p w14:paraId="52F4EE2A" w14:textId="77777777" w:rsidR="00034EC2" w:rsidRPr="00BC0D94" w:rsidRDefault="00034EC2"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vAlign w:val="bottom"/>
          </w:tcPr>
          <w:p w14:paraId="1961987A" w14:textId="77777777" w:rsidR="00034EC2" w:rsidRPr="00BC0D94" w:rsidRDefault="00034EC2"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r>
      <w:tr w:rsidR="00034EC2" w14:paraId="00CC3809" w14:textId="77777777" w:rsidTr="0041428A">
        <w:tc>
          <w:tcPr>
            <w:cnfStyle w:val="001000000000" w:firstRow="0" w:lastRow="0" w:firstColumn="1" w:lastColumn="0" w:oddVBand="0" w:evenVBand="0" w:oddHBand="0" w:evenHBand="0" w:firstRowFirstColumn="0" w:firstRowLastColumn="0" w:lastRowFirstColumn="0" w:lastRowLastColumn="0"/>
            <w:tcW w:w="2366" w:type="dxa"/>
            <w:tcBorders>
              <w:top w:val="single" w:sz="4" w:space="0" w:color="auto"/>
              <w:left w:val="single" w:sz="4" w:space="0" w:color="auto"/>
              <w:bottom w:val="single" w:sz="4" w:space="0" w:color="auto"/>
              <w:right w:val="single" w:sz="4" w:space="0" w:color="auto"/>
            </w:tcBorders>
            <w:vAlign w:val="bottom"/>
          </w:tcPr>
          <w:p w14:paraId="73FF4E54" w14:textId="77777777" w:rsidR="00034EC2" w:rsidRPr="00BC0D94" w:rsidRDefault="00034EC2" w:rsidP="00034EC2">
            <w:pPr>
              <w:tabs>
                <w:tab w:val="right" w:pos="4328"/>
              </w:tabs>
              <w:rPr>
                <w:rFonts w:ascii="Calibri" w:eastAsia="Times New Roman" w:hAnsi="Calibri" w:cs="Times New Roman"/>
                <w:bCs w:val="0"/>
                <w:color w:val="000000"/>
                <w:sz w:val="16"/>
                <w:szCs w:val="16"/>
              </w:rPr>
            </w:pPr>
          </w:p>
        </w:tc>
        <w:tc>
          <w:tcPr>
            <w:tcW w:w="874" w:type="dxa"/>
            <w:tcBorders>
              <w:top w:val="single" w:sz="4" w:space="0" w:color="auto"/>
              <w:left w:val="single" w:sz="4" w:space="0" w:color="auto"/>
              <w:bottom w:val="single" w:sz="4" w:space="0" w:color="auto"/>
              <w:right w:val="single" w:sz="4" w:space="0" w:color="auto"/>
            </w:tcBorders>
            <w:vAlign w:val="bottom"/>
          </w:tcPr>
          <w:p w14:paraId="246CD3FE" w14:textId="77777777" w:rsidR="00034EC2" w:rsidRPr="00BC0D94" w:rsidRDefault="00034EC2"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7E0D8B44" w14:textId="77777777" w:rsidR="00034EC2" w:rsidRPr="00BC0D94" w:rsidRDefault="00034EC2"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vAlign w:val="bottom"/>
          </w:tcPr>
          <w:p w14:paraId="68A4A14B" w14:textId="77777777" w:rsidR="00034EC2" w:rsidRPr="00BC0D94" w:rsidRDefault="00034EC2"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0ECCA22D" w14:textId="77777777" w:rsidR="00034EC2" w:rsidRPr="00BC0D94" w:rsidRDefault="00034EC2"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bottom"/>
          </w:tcPr>
          <w:p w14:paraId="5B764959" w14:textId="77777777" w:rsidR="00034EC2" w:rsidRPr="00BC0D94" w:rsidRDefault="00034EC2"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bottom"/>
          </w:tcPr>
          <w:p w14:paraId="63E8D397" w14:textId="77777777" w:rsidR="00034EC2" w:rsidRPr="00BC0D94" w:rsidRDefault="00034EC2"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vAlign w:val="bottom"/>
          </w:tcPr>
          <w:p w14:paraId="760A3626" w14:textId="77777777" w:rsidR="00034EC2" w:rsidRPr="00BC0D94" w:rsidRDefault="00034EC2"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r>
      <w:tr w:rsidR="00034EC2" w14:paraId="084324D8" w14:textId="77777777" w:rsidTr="00414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6" w:type="dxa"/>
            <w:tcBorders>
              <w:top w:val="single" w:sz="4" w:space="0" w:color="auto"/>
              <w:left w:val="single" w:sz="4" w:space="0" w:color="auto"/>
              <w:bottom w:val="single" w:sz="4" w:space="0" w:color="auto"/>
              <w:right w:val="single" w:sz="4" w:space="0" w:color="auto"/>
            </w:tcBorders>
            <w:vAlign w:val="bottom"/>
          </w:tcPr>
          <w:p w14:paraId="358E57DC" w14:textId="77777777" w:rsidR="00034EC2" w:rsidRPr="00BC0D94" w:rsidRDefault="00034EC2" w:rsidP="00034EC2">
            <w:pPr>
              <w:tabs>
                <w:tab w:val="right" w:pos="4328"/>
              </w:tabs>
              <w:rPr>
                <w:rFonts w:ascii="Calibri" w:eastAsia="Times New Roman" w:hAnsi="Calibri" w:cs="Times New Roman"/>
                <w:bCs w:val="0"/>
                <w:color w:val="000000"/>
                <w:sz w:val="16"/>
                <w:szCs w:val="16"/>
              </w:rPr>
            </w:pPr>
          </w:p>
        </w:tc>
        <w:tc>
          <w:tcPr>
            <w:tcW w:w="874" w:type="dxa"/>
            <w:tcBorders>
              <w:top w:val="single" w:sz="4" w:space="0" w:color="auto"/>
              <w:left w:val="single" w:sz="4" w:space="0" w:color="auto"/>
              <w:bottom w:val="single" w:sz="4" w:space="0" w:color="auto"/>
              <w:right w:val="single" w:sz="4" w:space="0" w:color="auto"/>
            </w:tcBorders>
            <w:vAlign w:val="bottom"/>
          </w:tcPr>
          <w:p w14:paraId="30CD5B4E" w14:textId="77777777" w:rsidR="00034EC2" w:rsidRPr="00BC0D94" w:rsidRDefault="00034EC2"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5134901C" w14:textId="77777777" w:rsidR="00034EC2" w:rsidRPr="00BC0D94" w:rsidRDefault="00034EC2"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vAlign w:val="bottom"/>
          </w:tcPr>
          <w:p w14:paraId="688954AA" w14:textId="77777777" w:rsidR="00034EC2" w:rsidRPr="00BC0D94" w:rsidRDefault="00034EC2"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7781FD6F" w14:textId="77777777" w:rsidR="00034EC2" w:rsidRPr="00BC0D94" w:rsidRDefault="00034EC2"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bottom"/>
          </w:tcPr>
          <w:p w14:paraId="50E478F2" w14:textId="77777777" w:rsidR="00034EC2" w:rsidRPr="00BC0D94" w:rsidRDefault="00034EC2"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bottom"/>
          </w:tcPr>
          <w:p w14:paraId="6800ABDC" w14:textId="77777777" w:rsidR="00034EC2" w:rsidRPr="00BC0D94" w:rsidRDefault="00034EC2"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vAlign w:val="bottom"/>
          </w:tcPr>
          <w:p w14:paraId="7CCE0FDA" w14:textId="77777777" w:rsidR="00034EC2" w:rsidRPr="00BC0D94" w:rsidRDefault="00034EC2"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r>
      <w:tr w:rsidR="00034EC2" w14:paraId="06065351" w14:textId="77777777" w:rsidTr="0041428A">
        <w:tc>
          <w:tcPr>
            <w:cnfStyle w:val="001000000000" w:firstRow="0" w:lastRow="0" w:firstColumn="1" w:lastColumn="0" w:oddVBand="0" w:evenVBand="0" w:oddHBand="0" w:evenHBand="0" w:firstRowFirstColumn="0" w:firstRowLastColumn="0" w:lastRowFirstColumn="0" w:lastRowLastColumn="0"/>
            <w:tcW w:w="2366" w:type="dxa"/>
            <w:tcBorders>
              <w:top w:val="single" w:sz="4" w:space="0" w:color="auto"/>
              <w:left w:val="single" w:sz="4" w:space="0" w:color="auto"/>
              <w:bottom w:val="single" w:sz="4" w:space="0" w:color="auto"/>
              <w:right w:val="single" w:sz="4" w:space="0" w:color="auto"/>
            </w:tcBorders>
            <w:vAlign w:val="bottom"/>
          </w:tcPr>
          <w:p w14:paraId="12E935AF" w14:textId="77777777" w:rsidR="00034EC2" w:rsidRPr="00BC0D94" w:rsidRDefault="00034EC2" w:rsidP="00034EC2">
            <w:pPr>
              <w:tabs>
                <w:tab w:val="right" w:pos="4328"/>
              </w:tabs>
              <w:rPr>
                <w:rFonts w:ascii="Calibri" w:eastAsia="Times New Roman" w:hAnsi="Calibri" w:cs="Times New Roman"/>
                <w:bCs w:val="0"/>
                <w:color w:val="000000"/>
                <w:sz w:val="16"/>
                <w:szCs w:val="16"/>
              </w:rPr>
            </w:pPr>
          </w:p>
        </w:tc>
        <w:tc>
          <w:tcPr>
            <w:tcW w:w="874" w:type="dxa"/>
            <w:tcBorders>
              <w:top w:val="single" w:sz="4" w:space="0" w:color="auto"/>
              <w:left w:val="single" w:sz="4" w:space="0" w:color="auto"/>
              <w:bottom w:val="single" w:sz="4" w:space="0" w:color="auto"/>
              <w:right w:val="single" w:sz="4" w:space="0" w:color="auto"/>
            </w:tcBorders>
            <w:vAlign w:val="bottom"/>
          </w:tcPr>
          <w:p w14:paraId="17BD2B6E" w14:textId="77777777" w:rsidR="00034EC2" w:rsidRPr="00BC0D94" w:rsidRDefault="00034EC2"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4F37DEEC" w14:textId="77777777" w:rsidR="00034EC2" w:rsidRPr="00BC0D94" w:rsidRDefault="00034EC2"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vAlign w:val="bottom"/>
          </w:tcPr>
          <w:p w14:paraId="2D6FD3E9" w14:textId="77777777" w:rsidR="00034EC2" w:rsidRPr="00BC0D94" w:rsidRDefault="00034EC2"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362152C2" w14:textId="77777777" w:rsidR="00034EC2" w:rsidRPr="00BC0D94" w:rsidRDefault="00034EC2"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bottom"/>
          </w:tcPr>
          <w:p w14:paraId="3770B066" w14:textId="77777777" w:rsidR="00034EC2" w:rsidRPr="00BC0D94" w:rsidRDefault="00034EC2"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bottom"/>
          </w:tcPr>
          <w:p w14:paraId="792BFD50" w14:textId="77777777" w:rsidR="00034EC2" w:rsidRPr="00BC0D94" w:rsidRDefault="00034EC2"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vAlign w:val="bottom"/>
          </w:tcPr>
          <w:p w14:paraId="27A1D21C" w14:textId="77777777" w:rsidR="00034EC2" w:rsidRPr="00BC0D94" w:rsidRDefault="00034EC2"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r>
      <w:tr w:rsidR="00240F63" w14:paraId="3D613265" w14:textId="77777777" w:rsidTr="00414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6" w:type="dxa"/>
            <w:tcBorders>
              <w:top w:val="single" w:sz="4" w:space="0" w:color="auto"/>
              <w:left w:val="single" w:sz="4" w:space="0" w:color="auto"/>
              <w:bottom w:val="single" w:sz="4" w:space="0" w:color="auto"/>
              <w:right w:val="single" w:sz="4" w:space="0" w:color="auto"/>
            </w:tcBorders>
            <w:vAlign w:val="bottom"/>
          </w:tcPr>
          <w:p w14:paraId="3BB7076B" w14:textId="77777777" w:rsidR="00240F63" w:rsidRPr="00BC0D94" w:rsidRDefault="00240F63" w:rsidP="00034EC2">
            <w:pPr>
              <w:tabs>
                <w:tab w:val="right" w:pos="4328"/>
              </w:tabs>
              <w:rPr>
                <w:rFonts w:ascii="Calibri" w:eastAsia="Times New Roman" w:hAnsi="Calibri" w:cs="Times New Roman"/>
                <w:bCs w:val="0"/>
                <w:color w:val="000000"/>
                <w:sz w:val="16"/>
                <w:szCs w:val="16"/>
              </w:rPr>
            </w:pPr>
          </w:p>
        </w:tc>
        <w:tc>
          <w:tcPr>
            <w:tcW w:w="874" w:type="dxa"/>
            <w:tcBorders>
              <w:top w:val="single" w:sz="4" w:space="0" w:color="auto"/>
              <w:left w:val="single" w:sz="4" w:space="0" w:color="auto"/>
              <w:bottom w:val="single" w:sz="4" w:space="0" w:color="auto"/>
              <w:right w:val="single" w:sz="4" w:space="0" w:color="auto"/>
            </w:tcBorders>
            <w:vAlign w:val="bottom"/>
          </w:tcPr>
          <w:p w14:paraId="77A4682A"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793CFA5B"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vAlign w:val="bottom"/>
          </w:tcPr>
          <w:p w14:paraId="335D72DD"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230C613A"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bottom"/>
          </w:tcPr>
          <w:p w14:paraId="2CFAB8DA"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bottom"/>
          </w:tcPr>
          <w:p w14:paraId="29924150"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vAlign w:val="bottom"/>
          </w:tcPr>
          <w:p w14:paraId="6AE063CA"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r>
      <w:tr w:rsidR="00240F63" w14:paraId="3BA912D8" w14:textId="77777777" w:rsidTr="0041428A">
        <w:tc>
          <w:tcPr>
            <w:cnfStyle w:val="001000000000" w:firstRow="0" w:lastRow="0" w:firstColumn="1" w:lastColumn="0" w:oddVBand="0" w:evenVBand="0" w:oddHBand="0" w:evenHBand="0" w:firstRowFirstColumn="0" w:firstRowLastColumn="0" w:lastRowFirstColumn="0" w:lastRowLastColumn="0"/>
            <w:tcW w:w="2366" w:type="dxa"/>
            <w:tcBorders>
              <w:top w:val="single" w:sz="4" w:space="0" w:color="auto"/>
              <w:left w:val="single" w:sz="4" w:space="0" w:color="auto"/>
              <w:bottom w:val="single" w:sz="4" w:space="0" w:color="auto"/>
              <w:right w:val="single" w:sz="4" w:space="0" w:color="auto"/>
            </w:tcBorders>
            <w:vAlign w:val="bottom"/>
          </w:tcPr>
          <w:p w14:paraId="54D729D4" w14:textId="77777777" w:rsidR="00240F63" w:rsidRPr="00BC0D94" w:rsidRDefault="00240F63" w:rsidP="00034EC2">
            <w:pPr>
              <w:tabs>
                <w:tab w:val="right" w:pos="4328"/>
              </w:tabs>
              <w:rPr>
                <w:rFonts w:ascii="Calibri" w:eastAsia="Times New Roman" w:hAnsi="Calibri" w:cs="Times New Roman"/>
                <w:bCs w:val="0"/>
                <w:color w:val="000000"/>
                <w:sz w:val="16"/>
                <w:szCs w:val="16"/>
              </w:rPr>
            </w:pPr>
          </w:p>
        </w:tc>
        <w:tc>
          <w:tcPr>
            <w:tcW w:w="874" w:type="dxa"/>
            <w:tcBorders>
              <w:top w:val="single" w:sz="4" w:space="0" w:color="auto"/>
              <w:left w:val="single" w:sz="4" w:space="0" w:color="auto"/>
              <w:bottom w:val="single" w:sz="4" w:space="0" w:color="auto"/>
              <w:right w:val="single" w:sz="4" w:space="0" w:color="auto"/>
            </w:tcBorders>
            <w:vAlign w:val="bottom"/>
          </w:tcPr>
          <w:p w14:paraId="5D6C7B63"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25C668D9"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vAlign w:val="bottom"/>
          </w:tcPr>
          <w:p w14:paraId="47B1052E"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6D207FF6"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bottom"/>
          </w:tcPr>
          <w:p w14:paraId="12DA00CC"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bottom"/>
          </w:tcPr>
          <w:p w14:paraId="505D5279"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vAlign w:val="bottom"/>
          </w:tcPr>
          <w:p w14:paraId="2731C6EC"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r>
      <w:tr w:rsidR="00240F63" w14:paraId="2E36B0A4" w14:textId="77777777" w:rsidTr="00414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6" w:type="dxa"/>
            <w:tcBorders>
              <w:top w:val="single" w:sz="4" w:space="0" w:color="auto"/>
              <w:left w:val="single" w:sz="4" w:space="0" w:color="auto"/>
              <w:bottom w:val="single" w:sz="4" w:space="0" w:color="auto"/>
              <w:right w:val="single" w:sz="4" w:space="0" w:color="auto"/>
            </w:tcBorders>
            <w:vAlign w:val="bottom"/>
          </w:tcPr>
          <w:p w14:paraId="6044AA67" w14:textId="77777777" w:rsidR="00240F63" w:rsidRPr="00BC0D94" w:rsidRDefault="00240F63" w:rsidP="00034EC2">
            <w:pPr>
              <w:tabs>
                <w:tab w:val="right" w:pos="4328"/>
              </w:tabs>
              <w:rPr>
                <w:rFonts w:ascii="Calibri" w:eastAsia="Times New Roman" w:hAnsi="Calibri" w:cs="Times New Roman"/>
                <w:bCs w:val="0"/>
                <w:color w:val="000000"/>
                <w:sz w:val="16"/>
                <w:szCs w:val="16"/>
              </w:rPr>
            </w:pPr>
          </w:p>
        </w:tc>
        <w:tc>
          <w:tcPr>
            <w:tcW w:w="874" w:type="dxa"/>
            <w:tcBorders>
              <w:top w:val="single" w:sz="4" w:space="0" w:color="auto"/>
              <w:left w:val="single" w:sz="4" w:space="0" w:color="auto"/>
              <w:bottom w:val="single" w:sz="4" w:space="0" w:color="auto"/>
              <w:right w:val="single" w:sz="4" w:space="0" w:color="auto"/>
            </w:tcBorders>
            <w:vAlign w:val="bottom"/>
          </w:tcPr>
          <w:p w14:paraId="454A2BA0"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49787CC8"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vAlign w:val="bottom"/>
          </w:tcPr>
          <w:p w14:paraId="2E57CE76"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79985B7B"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bottom"/>
          </w:tcPr>
          <w:p w14:paraId="64FA7CFC"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bottom"/>
          </w:tcPr>
          <w:p w14:paraId="7899C0C3"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vAlign w:val="bottom"/>
          </w:tcPr>
          <w:p w14:paraId="3D84E44A"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r>
      <w:tr w:rsidR="00240F63" w14:paraId="044BAADC" w14:textId="77777777" w:rsidTr="0041428A">
        <w:tc>
          <w:tcPr>
            <w:cnfStyle w:val="001000000000" w:firstRow="0" w:lastRow="0" w:firstColumn="1" w:lastColumn="0" w:oddVBand="0" w:evenVBand="0" w:oddHBand="0" w:evenHBand="0" w:firstRowFirstColumn="0" w:firstRowLastColumn="0" w:lastRowFirstColumn="0" w:lastRowLastColumn="0"/>
            <w:tcW w:w="2366" w:type="dxa"/>
            <w:tcBorders>
              <w:top w:val="single" w:sz="4" w:space="0" w:color="auto"/>
              <w:left w:val="single" w:sz="4" w:space="0" w:color="auto"/>
              <w:bottom w:val="single" w:sz="4" w:space="0" w:color="auto"/>
              <w:right w:val="single" w:sz="4" w:space="0" w:color="auto"/>
            </w:tcBorders>
            <w:vAlign w:val="bottom"/>
          </w:tcPr>
          <w:p w14:paraId="0323618B" w14:textId="77777777" w:rsidR="00240F63" w:rsidRPr="00BC0D94" w:rsidRDefault="00240F63" w:rsidP="00034EC2">
            <w:pPr>
              <w:tabs>
                <w:tab w:val="right" w:pos="4328"/>
              </w:tabs>
              <w:rPr>
                <w:rFonts w:ascii="Calibri" w:eastAsia="Times New Roman" w:hAnsi="Calibri" w:cs="Times New Roman"/>
                <w:bCs w:val="0"/>
                <w:color w:val="000000"/>
                <w:sz w:val="16"/>
                <w:szCs w:val="16"/>
              </w:rPr>
            </w:pPr>
          </w:p>
        </w:tc>
        <w:tc>
          <w:tcPr>
            <w:tcW w:w="874" w:type="dxa"/>
            <w:tcBorders>
              <w:top w:val="single" w:sz="4" w:space="0" w:color="auto"/>
              <w:left w:val="single" w:sz="4" w:space="0" w:color="auto"/>
              <w:bottom w:val="single" w:sz="4" w:space="0" w:color="auto"/>
              <w:right w:val="single" w:sz="4" w:space="0" w:color="auto"/>
            </w:tcBorders>
            <w:vAlign w:val="bottom"/>
          </w:tcPr>
          <w:p w14:paraId="7F61BC6D"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6386A4DF"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vAlign w:val="bottom"/>
          </w:tcPr>
          <w:p w14:paraId="3F6FF8EC"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45AD3D84"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bottom"/>
          </w:tcPr>
          <w:p w14:paraId="221DCB3E"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bottom"/>
          </w:tcPr>
          <w:p w14:paraId="6C0ADEA4"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vAlign w:val="bottom"/>
          </w:tcPr>
          <w:p w14:paraId="780C209A"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r>
      <w:tr w:rsidR="00240F63" w14:paraId="20A089DC" w14:textId="77777777" w:rsidTr="00414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6" w:type="dxa"/>
            <w:tcBorders>
              <w:top w:val="single" w:sz="4" w:space="0" w:color="auto"/>
              <w:left w:val="single" w:sz="4" w:space="0" w:color="auto"/>
              <w:bottom w:val="single" w:sz="4" w:space="0" w:color="auto"/>
              <w:right w:val="single" w:sz="4" w:space="0" w:color="auto"/>
            </w:tcBorders>
            <w:vAlign w:val="bottom"/>
          </w:tcPr>
          <w:p w14:paraId="65E67796" w14:textId="77777777" w:rsidR="00240F63" w:rsidRPr="00BC0D94" w:rsidRDefault="00240F63" w:rsidP="00034EC2">
            <w:pPr>
              <w:tabs>
                <w:tab w:val="right" w:pos="4328"/>
              </w:tabs>
              <w:rPr>
                <w:rFonts w:ascii="Calibri" w:eastAsia="Times New Roman" w:hAnsi="Calibri" w:cs="Times New Roman"/>
                <w:bCs w:val="0"/>
                <w:color w:val="000000"/>
                <w:sz w:val="16"/>
                <w:szCs w:val="16"/>
              </w:rPr>
            </w:pPr>
          </w:p>
        </w:tc>
        <w:tc>
          <w:tcPr>
            <w:tcW w:w="874" w:type="dxa"/>
            <w:tcBorders>
              <w:top w:val="single" w:sz="4" w:space="0" w:color="auto"/>
              <w:left w:val="single" w:sz="4" w:space="0" w:color="auto"/>
              <w:bottom w:val="single" w:sz="4" w:space="0" w:color="auto"/>
              <w:right w:val="single" w:sz="4" w:space="0" w:color="auto"/>
            </w:tcBorders>
            <w:vAlign w:val="bottom"/>
          </w:tcPr>
          <w:p w14:paraId="5586A223"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29070117"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vAlign w:val="bottom"/>
          </w:tcPr>
          <w:p w14:paraId="0CC1AA2C"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7CAA1327"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bottom"/>
          </w:tcPr>
          <w:p w14:paraId="23ADAFB6"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bottom"/>
          </w:tcPr>
          <w:p w14:paraId="593AAC5C"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vAlign w:val="bottom"/>
          </w:tcPr>
          <w:p w14:paraId="3AF33E0F"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r>
      <w:tr w:rsidR="00240F63" w14:paraId="353F9BD8" w14:textId="77777777" w:rsidTr="0041428A">
        <w:tc>
          <w:tcPr>
            <w:cnfStyle w:val="001000000000" w:firstRow="0" w:lastRow="0" w:firstColumn="1" w:lastColumn="0" w:oddVBand="0" w:evenVBand="0" w:oddHBand="0" w:evenHBand="0" w:firstRowFirstColumn="0" w:firstRowLastColumn="0" w:lastRowFirstColumn="0" w:lastRowLastColumn="0"/>
            <w:tcW w:w="2366" w:type="dxa"/>
            <w:tcBorders>
              <w:top w:val="single" w:sz="4" w:space="0" w:color="auto"/>
              <w:left w:val="single" w:sz="4" w:space="0" w:color="auto"/>
              <w:bottom w:val="single" w:sz="4" w:space="0" w:color="auto"/>
              <w:right w:val="single" w:sz="4" w:space="0" w:color="auto"/>
            </w:tcBorders>
            <w:vAlign w:val="bottom"/>
          </w:tcPr>
          <w:p w14:paraId="49D5908B" w14:textId="77777777" w:rsidR="00240F63" w:rsidRPr="00BC0D94" w:rsidRDefault="00240F63" w:rsidP="00034EC2">
            <w:pPr>
              <w:tabs>
                <w:tab w:val="right" w:pos="4328"/>
              </w:tabs>
              <w:rPr>
                <w:rFonts w:ascii="Calibri" w:eastAsia="Times New Roman" w:hAnsi="Calibri" w:cs="Times New Roman"/>
                <w:bCs w:val="0"/>
                <w:color w:val="000000"/>
                <w:sz w:val="16"/>
                <w:szCs w:val="16"/>
              </w:rPr>
            </w:pPr>
          </w:p>
        </w:tc>
        <w:tc>
          <w:tcPr>
            <w:tcW w:w="874" w:type="dxa"/>
            <w:tcBorders>
              <w:top w:val="single" w:sz="4" w:space="0" w:color="auto"/>
              <w:left w:val="single" w:sz="4" w:space="0" w:color="auto"/>
              <w:bottom w:val="single" w:sz="4" w:space="0" w:color="auto"/>
              <w:right w:val="single" w:sz="4" w:space="0" w:color="auto"/>
            </w:tcBorders>
            <w:vAlign w:val="bottom"/>
          </w:tcPr>
          <w:p w14:paraId="2116F33F"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087E8E0F"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vAlign w:val="bottom"/>
          </w:tcPr>
          <w:p w14:paraId="7A1C8493"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33170546"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bottom"/>
          </w:tcPr>
          <w:p w14:paraId="15320A4D"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bottom"/>
          </w:tcPr>
          <w:p w14:paraId="3BC1E478"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vAlign w:val="bottom"/>
          </w:tcPr>
          <w:p w14:paraId="1866A7C9"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r>
      <w:tr w:rsidR="00240F63" w14:paraId="695DD06E" w14:textId="77777777" w:rsidTr="00414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6" w:type="dxa"/>
            <w:tcBorders>
              <w:top w:val="single" w:sz="4" w:space="0" w:color="auto"/>
              <w:left w:val="single" w:sz="4" w:space="0" w:color="auto"/>
              <w:bottom w:val="single" w:sz="4" w:space="0" w:color="auto"/>
              <w:right w:val="single" w:sz="4" w:space="0" w:color="auto"/>
            </w:tcBorders>
            <w:vAlign w:val="bottom"/>
          </w:tcPr>
          <w:p w14:paraId="644A6E6E" w14:textId="77777777" w:rsidR="00240F63" w:rsidRPr="00BC0D94" w:rsidRDefault="00240F63" w:rsidP="00034EC2">
            <w:pPr>
              <w:tabs>
                <w:tab w:val="right" w:pos="4328"/>
              </w:tabs>
              <w:rPr>
                <w:rFonts w:ascii="Calibri" w:eastAsia="Times New Roman" w:hAnsi="Calibri" w:cs="Times New Roman"/>
                <w:bCs w:val="0"/>
                <w:color w:val="000000"/>
                <w:sz w:val="16"/>
                <w:szCs w:val="16"/>
              </w:rPr>
            </w:pPr>
          </w:p>
        </w:tc>
        <w:tc>
          <w:tcPr>
            <w:tcW w:w="874" w:type="dxa"/>
            <w:tcBorders>
              <w:top w:val="single" w:sz="4" w:space="0" w:color="auto"/>
              <w:left w:val="single" w:sz="4" w:space="0" w:color="auto"/>
              <w:bottom w:val="single" w:sz="4" w:space="0" w:color="auto"/>
              <w:right w:val="single" w:sz="4" w:space="0" w:color="auto"/>
            </w:tcBorders>
            <w:vAlign w:val="bottom"/>
          </w:tcPr>
          <w:p w14:paraId="167B5E4F"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15DDC934"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vAlign w:val="bottom"/>
          </w:tcPr>
          <w:p w14:paraId="787C94D2"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5E6640B0"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bottom"/>
          </w:tcPr>
          <w:p w14:paraId="13CC7848"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bottom"/>
          </w:tcPr>
          <w:p w14:paraId="262F1B8E"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vAlign w:val="bottom"/>
          </w:tcPr>
          <w:p w14:paraId="7840CF4E"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r>
      <w:tr w:rsidR="00240F63" w14:paraId="11278633" w14:textId="77777777" w:rsidTr="0041428A">
        <w:tc>
          <w:tcPr>
            <w:cnfStyle w:val="001000000000" w:firstRow="0" w:lastRow="0" w:firstColumn="1" w:lastColumn="0" w:oddVBand="0" w:evenVBand="0" w:oddHBand="0" w:evenHBand="0" w:firstRowFirstColumn="0" w:firstRowLastColumn="0" w:lastRowFirstColumn="0" w:lastRowLastColumn="0"/>
            <w:tcW w:w="2366" w:type="dxa"/>
            <w:tcBorders>
              <w:top w:val="single" w:sz="4" w:space="0" w:color="auto"/>
              <w:left w:val="single" w:sz="4" w:space="0" w:color="auto"/>
              <w:bottom w:val="single" w:sz="4" w:space="0" w:color="auto"/>
              <w:right w:val="single" w:sz="4" w:space="0" w:color="auto"/>
            </w:tcBorders>
            <w:vAlign w:val="bottom"/>
          </w:tcPr>
          <w:p w14:paraId="4F11F7C8" w14:textId="77777777" w:rsidR="00240F63" w:rsidRPr="00BC0D94" w:rsidRDefault="00240F63" w:rsidP="00034EC2">
            <w:pPr>
              <w:tabs>
                <w:tab w:val="right" w:pos="4328"/>
              </w:tabs>
              <w:rPr>
                <w:rFonts w:ascii="Calibri" w:eastAsia="Times New Roman" w:hAnsi="Calibri" w:cs="Times New Roman"/>
                <w:bCs w:val="0"/>
                <w:color w:val="000000"/>
                <w:sz w:val="16"/>
                <w:szCs w:val="16"/>
              </w:rPr>
            </w:pPr>
          </w:p>
        </w:tc>
        <w:tc>
          <w:tcPr>
            <w:tcW w:w="874" w:type="dxa"/>
            <w:tcBorders>
              <w:top w:val="single" w:sz="4" w:space="0" w:color="auto"/>
              <w:left w:val="single" w:sz="4" w:space="0" w:color="auto"/>
              <w:bottom w:val="single" w:sz="4" w:space="0" w:color="auto"/>
              <w:right w:val="single" w:sz="4" w:space="0" w:color="auto"/>
            </w:tcBorders>
            <w:vAlign w:val="bottom"/>
          </w:tcPr>
          <w:p w14:paraId="7F5B9C1A"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78809996"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vAlign w:val="bottom"/>
          </w:tcPr>
          <w:p w14:paraId="78911157"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70532E90"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bottom"/>
          </w:tcPr>
          <w:p w14:paraId="422E432C"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bottom"/>
          </w:tcPr>
          <w:p w14:paraId="03D3C861"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vAlign w:val="bottom"/>
          </w:tcPr>
          <w:p w14:paraId="6EBAD919" w14:textId="77777777" w:rsidR="00240F63" w:rsidRPr="00BC0D94" w:rsidRDefault="00240F63" w:rsidP="00034EC2">
            <w:pPr>
              <w:tabs>
                <w:tab w:val="right" w:pos="4328"/>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6"/>
                <w:szCs w:val="16"/>
              </w:rPr>
            </w:pPr>
          </w:p>
        </w:tc>
      </w:tr>
      <w:tr w:rsidR="00240F63" w14:paraId="04DFA487" w14:textId="77777777" w:rsidTr="00414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6" w:type="dxa"/>
            <w:tcBorders>
              <w:top w:val="single" w:sz="4" w:space="0" w:color="auto"/>
              <w:left w:val="single" w:sz="4" w:space="0" w:color="auto"/>
              <w:bottom w:val="single" w:sz="4" w:space="0" w:color="auto"/>
              <w:right w:val="single" w:sz="4" w:space="0" w:color="auto"/>
            </w:tcBorders>
            <w:vAlign w:val="bottom"/>
          </w:tcPr>
          <w:p w14:paraId="34541E95" w14:textId="77777777" w:rsidR="00240F63" w:rsidRPr="00BC0D94" w:rsidRDefault="00240F63" w:rsidP="00034EC2">
            <w:pPr>
              <w:tabs>
                <w:tab w:val="right" w:pos="4328"/>
              </w:tabs>
              <w:rPr>
                <w:rFonts w:ascii="Calibri" w:eastAsia="Times New Roman" w:hAnsi="Calibri" w:cs="Times New Roman"/>
                <w:bCs w:val="0"/>
                <w:color w:val="000000"/>
                <w:sz w:val="16"/>
                <w:szCs w:val="16"/>
              </w:rPr>
            </w:pPr>
          </w:p>
        </w:tc>
        <w:tc>
          <w:tcPr>
            <w:tcW w:w="874" w:type="dxa"/>
            <w:tcBorders>
              <w:top w:val="single" w:sz="4" w:space="0" w:color="auto"/>
              <w:left w:val="single" w:sz="4" w:space="0" w:color="auto"/>
              <w:bottom w:val="single" w:sz="4" w:space="0" w:color="auto"/>
              <w:right w:val="single" w:sz="4" w:space="0" w:color="auto"/>
            </w:tcBorders>
            <w:vAlign w:val="bottom"/>
          </w:tcPr>
          <w:p w14:paraId="1A25FB9E"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3E32ACCC"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vAlign w:val="bottom"/>
          </w:tcPr>
          <w:p w14:paraId="391BE421"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14:paraId="7E0B8D8B"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bottom"/>
          </w:tcPr>
          <w:p w14:paraId="1C41F93F"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bottom"/>
          </w:tcPr>
          <w:p w14:paraId="2A03A128"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vAlign w:val="bottom"/>
          </w:tcPr>
          <w:p w14:paraId="684A4901" w14:textId="77777777" w:rsidR="00240F63" w:rsidRPr="00BC0D94" w:rsidRDefault="00240F63" w:rsidP="00034EC2">
            <w:pPr>
              <w:tabs>
                <w:tab w:val="right" w:pos="4328"/>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16"/>
                <w:szCs w:val="16"/>
              </w:rPr>
            </w:pPr>
          </w:p>
        </w:tc>
      </w:tr>
    </w:tbl>
    <w:tbl>
      <w:tblPr>
        <w:tblStyle w:val="LightShading-Accent5"/>
        <w:tblW w:w="0" w:type="auto"/>
        <w:tblLook w:val="04A0" w:firstRow="1" w:lastRow="0" w:firstColumn="1" w:lastColumn="0" w:noHBand="0" w:noVBand="1"/>
      </w:tblPr>
      <w:tblGrid>
        <w:gridCol w:w="925"/>
        <w:gridCol w:w="9155"/>
        <w:gridCol w:w="720"/>
      </w:tblGrid>
      <w:tr w:rsidR="00240F63" w14:paraId="1BF0CFD2" w14:textId="77777777" w:rsidTr="00740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gridSpan w:val="3"/>
            <w:tcBorders>
              <w:bottom w:val="single" w:sz="4" w:space="0" w:color="auto"/>
            </w:tcBorders>
          </w:tcPr>
          <w:p w14:paraId="40634F01" w14:textId="77777777" w:rsidR="00240F63" w:rsidRDefault="00240F63" w:rsidP="00240F63">
            <w:pPr>
              <w:jc w:val="center"/>
            </w:pPr>
          </w:p>
          <w:p w14:paraId="3CDAB155" w14:textId="77777777" w:rsidR="00240F63" w:rsidRDefault="00240F63" w:rsidP="00740EE5"/>
          <w:p w14:paraId="2CD1D243" w14:textId="337E31BF" w:rsidR="00240F63" w:rsidRPr="00F647AA" w:rsidRDefault="00240F63" w:rsidP="00F647AA">
            <w:pPr>
              <w:rPr>
                <w:color w:val="auto"/>
                <w:sz w:val="20"/>
                <w:szCs w:val="20"/>
              </w:rPr>
            </w:pPr>
            <w:r w:rsidRPr="00DC19DE">
              <w:t xml:space="preserve">Please </w:t>
            </w:r>
            <w:r w:rsidR="00991D48" w:rsidRPr="00DC19DE">
              <w:t xml:space="preserve">place a </w:t>
            </w:r>
            <w:r w:rsidRPr="00DC19DE">
              <w:t>check</w:t>
            </w:r>
            <w:r w:rsidR="00991D48" w:rsidRPr="00DC19DE">
              <w:t xml:space="preserve"> mark next to any of the </w:t>
            </w:r>
            <w:r w:rsidRPr="00DC19DE">
              <w:t xml:space="preserve">Section III- Exemptions </w:t>
            </w:r>
            <w:r w:rsidR="00991D48" w:rsidRPr="00DC19DE">
              <w:t xml:space="preserve">which apply to your project. </w:t>
            </w:r>
            <w:r w:rsidRPr="00DC19DE">
              <w:t xml:space="preserve"> </w:t>
            </w:r>
            <w:r w:rsidR="00991D48" w:rsidRPr="00DC19DE">
              <w:t xml:space="preserve">A check mark below will qualify </w:t>
            </w:r>
            <w:r w:rsidRPr="00DC19DE">
              <w:t xml:space="preserve">your project for </w:t>
            </w:r>
            <w:r w:rsidR="00991D48" w:rsidRPr="00DC19DE">
              <w:t>review</w:t>
            </w:r>
            <w:r w:rsidRPr="00DC19DE">
              <w:t xml:space="preserve"> as exempt.</w:t>
            </w:r>
            <w:r w:rsidRPr="00DC19DE">
              <w:br/>
            </w:r>
          </w:p>
          <w:p w14:paraId="087C19A7" w14:textId="18DD9857" w:rsidR="00240F63" w:rsidRDefault="00240F63">
            <w:pPr>
              <w:jc w:val="center"/>
            </w:pPr>
          </w:p>
        </w:tc>
      </w:tr>
      <w:tr w:rsidR="00991D48" w14:paraId="10E9B18E" w14:textId="77777777" w:rsidTr="00DD6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gridSpan w:val="3"/>
            <w:tcBorders>
              <w:top w:val="single" w:sz="4" w:space="0" w:color="auto"/>
              <w:left w:val="single" w:sz="4" w:space="0" w:color="auto"/>
              <w:bottom w:val="single" w:sz="4" w:space="0" w:color="auto"/>
              <w:right w:val="single" w:sz="4" w:space="0" w:color="auto"/>
            </w:tcBorders>
          </w:tcPr>
          <w:p w14:paraId="6B59E9A9" w14:textId="0EA71B65" w:rsidR="00991D48" w:rsidRDefault="00991D48" w:rsidP="00AB439E">
            <w:pPr>
              <w:rPr>
                <w:b w:val="0"/>
                <w:bCs w:val="0"/>
              </w:rPr>
            </w:pPr>
          </w:p>
          <w:p w14:paraId="73577654" w14:textId="36621204" w:rsidR="00991D48" w:rsidRDefault="00991D48" w:rsidP="00D95DD8"/>
          <w:p w14:paraId="2C899D3E" w14:textId="3B9B6C8D" w:rsidR="00991D48" w:rsidRDefault="00991D48">
            <w:pPr>
              <w:jc w:val="center"/>
            </w:pPr>
            <w:r>
              <w:t>Exempt Experiments – NIH Guidelines Section III-F</w:t>
            </w:r>
          </w:p>
          <w:p w14:paraId="31687F55" w14:textId="21815195" w:rsidR="00991D48" w:rsidRDefault="00991D48">
            <w:pPr>
              <w:jc w:val="center"/>
            </w:pPr>
          </w:p>
        </w:tc>
      </w:tr>
      <w:tr w:rsidR="00991D48" w14:paraId="49A5878C" w14:textId="77777777" w:rsidTr="00740EE5">
        <w:tc>
          <w:tcPr>
            <w:cnfStyle w:val="001000000000" w:firstRow="0" w:lastRow="0" w:firstColumn="1" w:lastColumn="0" w:oddVBand="0" w:evenVBand="0" w:oddHBand="0" w:evenHBand="0" w:firstRowFirstColumn="0" w:firstRowLastColumn="0" w:lastRowFirstColumn="0" w:lastRowLastColumn="0"/>
            <w:tcW w:w="925" w:type="dxa"/>
            <w:tcBorders>
              <w:top w:val="single" w:sz="4" w:space="0" w:color="auto"/>
              <w:left w:val="single" w:sz="4" w:space="0" w:color="auto"/>
              <w:bottom w:val="single" w:sz="4" w:space="0" w:color="auto"/>
              <w:right w:val="single" w:sz="4" w:space="0" w:color="auto"/>
            </w:tcBorders>
          </w:tcPr>
          <w:p w14:paraId="704D479C" w14:textId="77777777" w:rsidR="00991D48" w:rsidRPr="001800C7" w:rsidRDefault="00991D48" w:rsidP="00AB439E">
            <w:r>
              <w:t>1.</w:t>
            </w:r>
          </w:p>
        </w:tc>
        <w:tc>
          <w:tcPr>
            <w:tcW w:w="9155" w:type="dxa"/>
            <w:tcBorders>
              <w:top w:val="single" w:sz="4" w:space="0" w:color="auto"/>
              <w:left w:val="single" w:sz="4" w:space="0" w:color="auto"/>
              <w:bottom w:val="single" w:sz="4" w:space="0" w:color="auto"/>
              <w:right w:val="single" w:sz="4" w:space="0" w:color="auto"/>
            </w:tcBorders>
          </w:tcPr>
          <w:p w14:paraId="5FC12042" w14:textId="435D13C8" w:rsidR="00991D48" w:rsidRDefault="00991D48">
            <w:pPr>
              <w:cnfStyle w:val="000000000000" w:firstRow="0" w:lastRow="0" w:firstColumn="0" w:lastColumn="0" w:oddVBand="0" w:evenVBand="0" w:oddHBand="0" w:evenHBand="0" w:firstRowFirstColumn="0" w:firstRowLastColumn="0" w:lastRowFirstColumn="0" w:lastRowLastColumn="0"/>
            </w:pPr>
            <w:r w:rsidRPr="00740EE5">
              <w:rPr>
                <w:b/>
              </w:rPr>
              <w:t>Section III-F-1.</w:t>
            </w:r>
            <w:r>
              <w:rPr>
                <w:sz w:val="20"/>
                <w:szCs w:val="20"/>
              </w:rPr>
              <w:t xml:space="preserve"> Those synthetic nucleic acids that: </w:t>
            </w:r>
            <w:r w:rsidRPr="00740EE5">
              <w:rPr>
                <w:b/>
                <w:sz w:val="20"/>
                <w:szCs w:val="20"/>
              </w:rPr>
              <w:t xml:space="preserve">(1) </w:t>
            </w:r>
            <w:r>
              <w:rPr>
                <w:sz w:val="20"/>
                <w:szCs w:val="20"/>
              </w:rPr>
              <w:t xml:space="preserve">can neither replicate nor generate nucleic acids that can replicate in any living cell (e.g., oligonucleotides or other synthetic nucleic acids that do not contain an origin of replication or contain elements known to interact with either DNA or RNA polymerase), and </w:t>
            </w:r>
            <w:r w:rsidRPr="00740EE5">
              <w:rPr>
                <w:b/>
                <w:sz w:val="20"/>
                <w:szCs w:val="20"/>
              </w:rPr>
              <w:t xml:space="preserve">(2) </w:t>
            </w:r>
            <w:r>
              <w:rPr>
                <w:sz w:val="20"/>
                <w:szCs w:val="20"/>
              </w:rPr>
              <w:t xml:space="preserve">are not designed to integrate into DNA, and </w:t>
            </w:r>
            <w:r w:rsidRPr="00740EE5">
              <w:rPr>
                <w:b/>
                <w:sz w:val="20"/>
                <w:szCs w:val="20"/>
              </w:rPr>
              <w:t xml:space="preserve">(3) </w:t>
            </w:r>
            <w:r>
              <w:rPr>
                <w:sz w:val="20"/>
                <w:szCs w:val="20"/>
              </w:rPr>
              <w:t xml:space="preserve">do not produce a toxin that is lethal for vertebrates at an LD50 of less than 100 </w:t>
            </w:r>
            <w:proofErr w:type="spellStart"/>
            <w:r>
              <w:rPr>
                <w:sz w:val="20"/>
                <w:szCs w:val="20"/>
              </w:rPr>
              <w:t>nanograms</w:t>
            </w:r>
            <w:proofErr w:type="spellEnd"/>
            <w:r>
              <w:rPr>
                <w:sz w:val="20"/>
                <w:szCs w:val="20"/>
              </w:rPr>
              <w:t xml:space="preserve"> per kilogram body weight. If a synthetic nucleic acid is deliberately transferred into one or more human research participants and meets the criteria of Section III-C, it is not exempt under this Section.</w:t>
            </w:r>
          </w:p>
        </w:tc>
        <w:tc>
          <w:tcPr>
            <w:tcW w:w="720" w:type="dxa"/>
            <w:tcBorders>
              <w:top w:val="single" w:sz="4" w:space="0" w:color="auto"/>
              <w:left w:val="single" w:sz="4" w:space="0" w:color="auto"/>
              <w:bottom w:val="single" w:sz="4" w:space="0" w:color="auto"/>
              <w:right w:val="single" w:sz="4" w:space="0" w:color="auto"/>
            </w:tcBorders>
          </w:tcPr>
          <w:sdt>
            <w:sdtPr>
              <w:id w:val="1925918218"/>
              <w14:checkbox>
                <w14:checked w14:val="0"/>
                <w14:checkedState w14:val="2612" w14:font="MS Gothic"/>
                <w14:uncheckedState w14:val="2610" w14:font="MS Gothic"/>
              </w14:checkbox>
            </w:sdtPr>
            <w:sdtEndPr/>
            <w:sdtContent>
              <w:p w14:paraId="073FFA99" w14:textId="286536DA" w:rsidR="00991D48" w:rsidRDefault="0041428A" w:rsidP="00AB439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p w14:paraId="796242B1" w14:textId="1E2391BA" w:rsidR="00991D48" w:rsidRDefault="00991D48" w:rsidP="00AB439E">
            <w:pPr>
              <w:jc w:val="center"/>
              <w:cnfStyle w:val="000000000000" w:firstRow="0" w:lastRow="0" w:firstColumn="0" w:lastColumn="0" w:oddVBand="0" w:evenVBand="0" w:oddHBand="0" w:evenHBand="0" w:firstRowFirstColumn="0" w:firstRowLastColumn="0" w:lastRowFirstColumn="0" w:lastRowLastColumn="0"/>
            </w:pPr>
          </w:p>
        </w:tc>
      </w:tr>
      <w:tr w:rsidR="00991D48" w14:paraId="4ACE1101" w14:textId="77777777" w:rsidTr="00740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5" w:type="dxa"/>
            <w:tcBorders>
              <w:top w:val="single" w:sz="4" w:space="0" w:color="auto"/>
              <w:left w:val="single" w:sz="4" w:space="0" w:color="auto"/>
              <w:bottom w:val="single" w:sz="4" w:space="0" w:color="auto"/>
              <w:right w:val="single" w:sz="4" w:space="0" w:color="auto"/>
            </w:tcBorders>
          </w:tcPr>
          <w:p w14:paraId="6E4DDA73" w14:textId="77777777" w:rsidR="00991D48" w:rsidRPr="001800C7" w:rsidRDefault="00991D48" w:rsidP="00AB439E">
            <w:r>
              <w:t>2.</w:t>
            </w:r>
          </w:p>
        </w:tc>
        <w:tc>
          <w:tcPr>
            <w:tcW w:w="9155" w:type="dxa"/>
            <w:tcBorders>
              <w:top w:val="single" w:sz="4" w:space="0" w:color="auto"/>
              <w:left w:val="single" w:sz="4" w:space="0" w:color="auto"/>
              <w:bottom w:val="single" w:sz="4" w:space="0" w:color="auto"/>
              <w:right w:val="single" w:sz="4" w:space="0" w:color="auto"/>
            </w:tcBorders>
          </w:tcPr>
          <w:p w14:paraId="3BC270C1" w14:textId="77777777" w:rsidR="00991D48" w:rsidRDefault="00991D48" w:rsidP="00AB439E">
            <w:pPr>
              <w:cnfStyle w:val="000000100000" w:firstRow="0" w:lastRow="0" w:firstColumn="0" w:lastColumn="0" w:oddVBand="0" w:evenVBand="0" w:oddHBand="1" w:evenHBand="0" w:firstRowFirstColumn="0" w:firstRowLastColumn="0" w:lastRowFirstColumn="0" w:lastRowLastColumn="0"/>
            </w:pPr>
            <w:r w:rsidRPr="002773BD">
              <w:rPr>
                <w:b/>
              </w:rPr>
              <w:t>Section III-F-2</w:t>
            </w:r>
            <w:r w:rsidRPr="002773BD">
              <w:t>. Those that are not in organisms, cells, or viruses and that have not been modified or manipulated (e.g., encapsulated into synthetic or natural vehicles) to render them capable of penetrating cellular membranes.</w:t>
            </w:r>
          </w:p>
        </w:tc>
        <w:tc>
          <w:tcPr>
            <w:tcW w:w="720" w:type="dxa"/>
            <w:tcBorders>
              <w:top w:val="single" w:sz="4" w:space="0" w:color="auto"/>
              <w:left w:val="single" w:sz="4" w:space="0" w:color="auto"/>
              <w:bottom w:val="single" w:sz="4" w:space="0" w:color="auto"/>
              <w:right w:val="single" w:sz="4" w:space="0" w:color="auto"/>
            </w:tcBorders>
          </w:tcPr>
          <w:sdt>
            <w:sdtPr>
              <w:id w:val="-1530716266"/>
              <w14:checkbox>
                <w14:checked w14:val="0"/>
                <w14:checkedState w14:val="2612" w14:font="MS Gothic"/>
                <w14:uncheckedState w14:val="2610" w14:font="MS Gothic"/>
              </w14:checkbox>
            </w:sdtPr>
            <w:sdtEndPr/>
            <w:sdtContent>
              <w:p w14:paraId="62E000CE" w14:textId="77777777" w:rsidR="00991D48" w:rsidRDefault="00991D48" w:rsidP="00AB439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p w14:paraId="322183E7" w14:textId="5C8736F3" w:rsidR="00991D48" w:rsidRDefault="00991D48" w:rsidP="00AB439E">
            <w:pPr>
              <w:jc w:val="center"/>
              <w:cnfStyle w:val="000000100000" w:firstRow="0" w:lastRow="0" w:firstColumn="0" w:lastColumn="0" w:oddVBand="0" w:evenVBand="0" w:oddHBand="1" w:evenHBand="0" w:firstRowFirstColumn="0" w:firstRowLastColumn="0" w:lastRowFirstColumn="0" w:lastRowLastColumn="0"/>
            </w:pPr>
          </w:p>
        </w:tc>
      </w:tr>
      <w:tr w:rsidR="00991D48" w14:paraId="36D3AD9E" w14:textId="77777777" w:rsidTr="00740EE5">
        <w:tc>
          <w:tcPr>
            <w:cnfStyle w:val="001000000000" w:firstRow="0" w:lastRow="0" w:firstColumn="1" w:lastColumn="0" w:oddVBand="0" w:evenVBand="0" w:oddHBand="0" w:evenHBand="0" w:firstRowFirstColumn="0" w:firstRowLastColumn="0" w:lastRowFirstColumn="0" w:lastRowLastColumn="0"/>
            <w:tcW w:w="925" w:type="dxa"/>
            <w:tcBorders>
              <w:top w:val="single" w:sz="4" w:space="0" w:color="auto"/>
              <w:left w:val="single" w:sz="4" w:space="0" w:color="auto"/>
              <w:bottom w:val="single" w:sz="4" w:space="0" w:color="auto"/>
              <w:right w:val="single" w:sz="4" w:space="0" w:color="auto"/>
            </w:tcBorders>
          </w:tcPr>
          <w:p w14:paraId="5E6F3644" w14:textId="77777777" w:rsidR="00991D48" w:rsidRDefault="00991D48" w:rsidP="00AB439E">
            <w:r>
              <w:t>3.</w:t>
            </w:r>
          </w:p>
        </w:tc>
        <w:tc>
          <w:tcPr>
            <w:tcW w:w="9155" w:type="dxa"/>
            <w:tcBorders>
              <w:top w:val="single" w:sz="4" w:space="0" w:color="auto"/>
              <w:left w:val="single" w:sz="4" w:space="0" w:color="auto"/>
              <w:bottom w:val="single" w:sz="4" w:space="0" w:color="auto"/>
              <w:right w:val="single" w:sz="4" w:space="0" w:color="auto"/>
            </w:tcBorders>
          </w:tcPr>
          <w:p w14:paraId="6B81C5E9" w14:textId="77777777" w:rsidR="00991D48" w:rsidRDefault="00991D48" w:rsidP="00AB439E">
            <w:pPr>
              <w:cnfStyle w:val="000000000000" w:firstRow="0" w:lastRow="0" w:firstColumn="0" w:lastColumn="0" w:oddVBand="0" w:evenVBand="0" w:oddHBand="0" w:evenHBand="0" w:firstRowFirstColumn="0" w:firstRowLastColumn="0" w:lastRowFirstColumn="0" w:lastRowLastColumn="0"/>
            </w:pPr>
            <w:r w:rsidRPr="002773BD">
              <w:rPr>
                <w:b/>
              </w:rPr>
              <w:t>Section III-F-3</w:t>
            </w:r>
            <w:r w:rsidRPr="002773BD">
              <w:t>. Those that consist solely of the exact recombinant or synthetic nucleic acid sequence from a single source that exists contemporaneously in nature.</w:t>
            </w:r>
          </w:p>
        </w:tc>
        <w:tc>
          <w:tcPr>
            <w:tcW w:w="720" w:type="dxa"/>
            <w:tcBorders>
              <w:top w:val="single" w:sz="4" w:space="0" w:color="auto"/>
              <w:left w:val="single" w:sz="4" w:space="0" w:color="auto"/>
              <w:bottom w:val="single" w:sz="4" w:space="0" w:color="auto"/>
              <w:right w:val="single" w:sz="4" w:space="0" w:color="auto"/>
            </w:tcBorders>
          </w:tcPr>
          <w:sdt>
            <w:sdtPr>
              <w:id w:val="-1736228107"/>
              <w14:checkbox>
                <w14:checked w14:val="0"/>
                <w14:checkedState w14:val="2612" w14:font="MS Gothic"/>
                <w14:uncheckedState w14:val="2610" w14:font="MS Gothic"/>
              </w14:checkbox>
            </w:sdtPr>
            <w:sdtEndPr/>
            <w:sdtContent>
              <w:p w14:paraId="0923D388" w14:textId="77777777" w:rsidR="00991D48" w:rsidRDefault="00991D48" w:rsidP="00AB439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p w14:paraId="4A97A64D" w14:textId="45F47EAD" w:rsidR="00991D48" w:rsidRDefault="00991D48" w:rsidP="00AB439E">
            <w:pPr>
              <w:jc w:val="center"/>
              <w:cnfStyle w:val="000000000000" w:firstRow="0" w:lastRow="0" w:firstColumn="0" w:lastColumn="0" w:oddVBand="0" w:evenVBand="0" w:oddHBand="0" w:evenHBand="0" w:firstRowFirstColumn="0" w:firstRowLastColumn="0" w:lastRowFirstColumn="0" w:lastRowLastColumn="0"/>
            </w:pPr>
          </w:p>
        </w:tc>
      </w:tr>
      <w:tr w:rsidR="00991D48" w14:paraId="593419B2" w14:textId="77777777" w:rsidTr="00740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5" w:type="dxa"/>
            <w:tcBorders>
              <w:top w:val="single" w:sz="4" w:space="0" w:color="auto"/>
              <w:left w:val="single" w:sz="4" w:space="0" w:color="auto"/>
              <w:bottom w:val="single" w:sz="4" w:space="0" w:color="auto"/>
              <w:right w:val="single" w:sz="4" w:space="0" w:color="auto"/>
            </w:tcBorders>
          </w:tcPr>
          <w:p w14:paraId="71B85179" w14:textId="77777777" w:rsidR="00991D48" w:rsidRPr="001800C7" w:rsidRDefault="00991D48" w:rsidP="00AB439E">
            <w:r>
              <w:t>4.</w:t>
            </w:r>
          </w:p>
        </w:tc>
        <w:tc>
          <w:tcPr>
            <w:tcW w:w="9155" w:type="dxa"/>
            <w:tcBorders>
              <w:top w:val="single" w:sz="4" w:space="0" w:color="auto"/>
              <w:left w:val="single" w:sz="4" w:space="0" w:color="auto"/>
              <w:bottom w:val="single" w:sz="4" w:space="0" w:color="auto"/>
              <w:right w:val="single" w:sz="4" w:space="0" w:color="auto"/>
            </w:tcBorders>
          </w:tcPr>
          <w:p w14:paraId="471A8F4F" w14:textId="77777777" w:rsidR="00991D48" w:rsidRDefault="00991D48" w:rsidP="00AB439E">
            <w:pPr>
              <w:cnfStyle w:val="000000100000" w:firstRow="0" w:lastRow="0" w:firstColumn="0" w:lastColumn="0" w:oddVBand="0" w:evenVBand="0" w:oddHBand="1" w:evenHBand="0" w:firstRowFirstColumn="0" w:firstRowLastColumn="0" w:lastRowFirstColumn="0" w:lastRowLastColumn="0"/>
            </w:pPr>
            <w:r w:rsidRPr="00EA2493">
              <w:rPr>
                <w:b/>
              </w:rPr>
              <w:t xml:space="preserve">Section III-F-4. </w:t>
            </w:r>
            <w:r w:rsidRPr="00EA2493">
              <w:t>Those that consist entirely of nucleic acids from a prokaryotic host, including its indigenous plasmids or viruses when propagated only in that host (or a closely related strain of the same species), or when transferred to another host by well-established physiological means.</w:t>
            </w:r>
          </w:p>
        </w:tc>
        <w:tc>
          <w:tcPr>
            <w:tcW w:w="720" w:type="dxa"/>
            <w:tcBorders>
              <w:top w:val="single" w:sz="4" w:space="0" w:color="auto"/>
              <w:left w:val="single" w:sz="4" w:space="0" w:color="auto"/>
              <w:bottom w:val="single" w:sz="4" w:space="0" w:color="auto"/>
              <w:right w:val="single" w:sz="4" w:space="0" w:color="auto"/>
            </w:tcBorders>
          </w:tcPr>
          <w:sdt>
            <w:sdtPr>
              <w:id w:val="-1692608767"/>
              <w14:checkbox>
                <w14:checked w14:val="0"/>
                <w14:checkedState w14:val="2612" w14:font="MS Gothic"/>
                <w14:uncheckedState w14:val="2610" w14:font="MS Gothic"/>
              </w14:checkbox>
            </w:sdtPr>
            <w:sdtEndPr/>
            <w:sdtContent>
              <w:p w14:paraId="4E364C7A" w14:textId="77777777" w:rsidR="00991D48" w:rsidRDefault="00991D48" w:rsidP="00AB439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p w14:paraId="3E86ECB8" w14:textId="1015C930" w:rsidR="00991D48" w:rsidRDefault="00991D48" w:rsidP="00AB439E">
            <w:pPr>
              <w:jc w:val="center"/>
              <w:cnfStyle w:val="000000100000" w:firstRow="0" w:lastRow="0" w:firstColumn="0" w:lastColumn="0" w:oddVBand="0" w:evenVBand="0" w:oddHBand="1" w:evenHBand="0" w:firstRowFirstColumn="0" w:firstRowLastColumn="0" w:lastRowFirstColumn="0" w:lastRowLastColumn="0"/>
            </w:pPr>
          </w:p>
        </w:tc>
      </w:tr>
      <w:tr w:rsidR="00991D48" w14:paraId="4693EC30" w14:textId="77777777" w:rsidTr="00740EE5">
        <w:tc>
          <w:tcPr>
            <w:cnfStyle w:val="001000000000" w:firstRow="0" w:lastRow="0" w:firstColumn="1" w:lastColumn="0" w:oddVBand="0" w:evenVBand="0" w:oddHBand="0" w:evenHBand="0" w:firstRowFirstColumn="0" w:firstRowLastColumn="0" w:lastRowFirstColumn="0" w:lastRowLastColumn="0"/>
            <w:tcW w:w="925" w:type="dxa"/>
            <w:tcBorders>
              <w:top w:val="single" w:sz="4" w:space="0" w:color="auto"/>
              <w:left w:val="single" w:sz="4" w:space="0" w:color="auto"/>
              <w:bottom w:val="single" w:sz="4" w:space="0" w:color="auto"/>
              <w:right w:val="single" w:sz="4" w:space="0" w:color="auto"/>
            </w:tcBorders>
          </w:tcPr>
          <w:p w14:paraId="3ECAAD1D" w14:textId="77777777" w:rsidR="00991D48" w:rsidRDefault="00991D48" w:rsidP="00AB439E">
            <w:r>
              <w:t>5.</w:t>
            </w:r>
          </w:p>
        </w:tc>
        <w:tc>
          <w:tcPr>
            <w:tcW w:w="9155" w:type="dxa"/>
            <w:tcBorders>
              <w:top w:val="single" w:sz="4" w:space="0" w:color="auto"/>
              <w:left w:val="single" w:sz="4" w:space="0" w:color="auto"/>
              <w:bottom w:val="single" w:sz="4" w:space="0" w:color="auto"/>
              <w:right w:val="single" w:sz="4" w:space="0" w:color="auto"/>
            </w:tcBorders>
          </w:tcPr>
          <w:p w14:paraId="005FF726" w14:textId="77777777" w:rsidR="00991D48" w:rsidRDefault="00991D48" w:rsidP="00AB439E">
            <w:pPr>
              <w:cnfStyle w:val="000000000000" w:firstRow="0" w:lastRow="0" w:firstColumn="0" w:lastColumn="0" w:oddVBand="0" w:evenVBand="0" w:oddHBand="0" w:evenHBand="0" w:firstRowFirstColumn="0" w:firstRowLastColumn="0" w:lastRowFirstColumn="0" w:lastRowLastColumn="0"/>
            </w:pPr>
            <w:r w:rsidRPr="00EA2493">
              <w:rPr>
                <w:b/>
              </w:rPr>
              <w:t xml:space="preserve">Section III-F-5. </w:t>
            </w:r>
            <w:r w:rsidRPr="00EA2493">
              <w:t>Those that consist entirely of nucleic acids from a eukaryotic host including its chloroplasts, mitochondria, or plasmids (but excluding viruses) when propagated only in that host (or a closely related strain of the same species).</w:t>
            </w:r>
          </w:p>
        </w:tc>
        <w:tc>
          <w:tcPr>
            <w:tcW w:w="720" w:type="dxa"/>
            <w:tcBorders>
              <w:top w:val="single" w:sz="4" w:space="0" w:color="auto"/>
              <w:left w:val="single" w:sz="4" w:space="0" w:color="auto"/>
              <w:bottom w:val="single" w:sz="4" w:space="0" w:color="auto"/>
              <w:right w:val="single" w:sz="4" w:space="0" w:color="auto"/>
            </w:tcBorders>
          </w:tcPr>
          <w:sdt>
            <w:sdtPr>
              <w:id w:val="-706024887"/>
              <w14:checkbox>
                <w14:checked w14:val="0"/>
                <w14:checkedState w14:val="2612" w14:font="MS Gothic"/>
                <w14:uncheckedState w14:val="2610" w14:font="MS Gothic"/>
              </w14:checkbox>
            </w:sdtPr>
            <w:sdtEndPr/>
            <w:sdtContent>
              <w:p w14:paraId="0C1DDEB4" w14:textId="77777777" w:rsidR="00991D48" w:rsidRDefault="00991D48" w:rsidP="00AB439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p w14:paraId="17FFACC6" w14:textId="50ACD12E" w:rsidR="00991D48" w:rsidRDefault="00991D48" w:rsidP="00AB439E">
            <w:pPr>
              <w:jc w:val="center"/>
              <w:cnfStyle w:val="000000000000" w:firstRow="0" w:lastRow="0" w:firstColumn="0" w:lastColumn="0" w:oddVBand="0" w:evenVBand="0" w:oddHBand="0" w:evenHBand="0" w:firstRowFirstColumn="0" w:firstRowLastColumn="0" w:lastRowFirstColumn="0" w:lastRowLastColumn="0"/>
            </w:pPr>
          </w:p>
        </w:tc>
      </w:tr>
      <w:tr w:rsidR="00991D48" w14:paraId="2B88FF55" w14:textId="77777777" w:rsidTr="00740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5" w:type="dxa"/>
            <w:tcBorders>
              <w:top w:val="single" w:sz="4" w:space="0" w:color="auto"/>
              <w:left w:val="single" w:sz="4" w:space="0" w:color="auto"/>
              <w:bottom w:val="single" w:sz="4" w:space="0" w:color="auto"/>
              <w:right w:val="single" w:sz="4" w:space="0" w:color="auto"/>
            </w:tcBorders>
          </w:tcPr>
          <w:p w14:paraId="33D8D97C" w14:textId="77777777" w:rsidR="00991D48" w:rsidRPr="001800C7" w:rsidRDefault="00991D48" w:rsidP="00AB439E">
            <w:r>
              <w:t>6.</w:t>
            </w:r>
          </w:p>
        </w:tc>
        <w:tc>
          <w:tcPr>
            <w:tcW w:w="9155" w:type="dxa"/>
            <w:tcBorders>
              <w:top w:val="single" w:sz="4" w:space="0" w:color="auto"/>
              <w:left w:val="single" w:sz="4" w:space="0" w:color="auto"/>
              <w:bottom w:val="single" w:sz="4" w:space="0" w:color="auto"/>
              <w:right w:val="single" w:sz="4" w:space="0" w:color="auto"/>
            </w:tcBorders>
          </w:tcPr>
          <w:p w14:paraId="211C410A" w14:textId="77777777" w:rsidR="00991D48" w:rsidRDefault="00991D48" w:rsidP="00AB439E">
            <w:pPr>
              <w:cnfStyle w:val="000000100000" w:firstRow="0" w:lastRow="0" w:firstColumn="0" w:lastColumn="0" w:oddVBand="0" w:evenVBand="0" w:oddHBand="1" w:evenHBand="0" w:firstRowFirstColumn="0" w:firstRowLastColumn="0" w:lastRowFirstColumn="0" w:lastRowLastColumn="0"/>
            </w:pPr>
            <w:r w:rsidRPr="00EA2493">
              <w:rPr>
                <w:b/>
              </w:rPr>
              <w:t xml:space="preserve">Section III-F-6. </w:t>
            </w:r>
            <w:r w:rsidRPr="00EA2493">
              <w:t>Those that consist entirely of DNA segments from different species that exchange DNA by known physiological processes, though one or more of the segments may be a synthetic equivalent. A list of such exchangers will be prepared and periodically revised by the NIH Director with advice of the RAC after appropriate notice and opportunity for public comment (see Section IV-C-1-b-(1)-(c), Major Actions). See Appendices A-I through A-VI, Exemptions under Section III-F-6--</w:t>
            </w:r>
            <w:proofErr w:type="spellStart"/>
            <w:r w:rsidRPr="00EA2493">
              <w:t>Sublists</w:t>
            </w:r>
            <w:proofErr w:type="spellEnd"/>
            <w:r w:rsidRPr="00EA2493">
              <w:t xml:space="preserve"> of Natural Exchangers, for a list of natural exchangers that are exempt from the NIH Guidelines.</w:t>
            </w:r>
          </w:p>
        </w:tc>
        <w:tc>
          <w:tcPr>
            <w:tcW w:w="720" w:type="dxa"/>
            <w:tcBorders>
              <w:top w:val="single" w:sz="4" w:space="0" w:color="auto"/>
              <w:left w:val="single" w:sz="4" w:space="0" w:color="auto"/>
              <w:bottom w:val="single" w:sz="4" w:space="0" w:color="auto"/>
              <w:right w:val="single" w:sz="4" w:space="0" w:color="auto"/>
            </w:tcBorders>
          </w:tcPr>
          <w:sdt>
            <w:sdtPr>
              <w:id w:val="1721631528"/>
              <w14:checkbox>
                <w14:checked w14:val="0"/>
                <w14:checkedState w14:val="2612" w14:font="MS Gothic"/>
                <w14:uncheckedState w14:val="2610" w14:font="MS Gothic"/>
              </w14:checkbox>
            </w:sdtPr>
            <w:sdtEndPr/>
            <w:sdtContent>
              <w:p w14:paraId="1B06A946" w14:textId="77777777" w:rsidR="00991D48" w:rsidRDefault="00991D48" w:rsidP="00AB439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p w14:paraId="6A0DB942" w14:textId="05217A70" w:rsidR="00991D48" w:rsidRDefault="00991D48" w:rsidP="00AB439E">
            <w:pPr>
              <w:jc w:val="center"/>
              <w:cnfStyle w:val="000000100000" w:firstRow="0" w:lastRow="0" w:firstColumn="0" w:lastColumn="0" w:oddVBand="0" w:evenVBand="0" w:oddHBand="1" w:evenHBand="0" w:firstRowFirstColumn="0" w:firstRowLastColumn="0" w:lastRowFirstColumn="0" w:lastRowLastColumn="0"/>
            </w:pPr>
          </w:p>
        </w:tc>
      </w:tr>
      <w:tr w:rsidR="00991D48" w14:paraId="1339E1DF" w14:textId="77777777" w:rsidTr="00740EE5">
        <w:tc>
          <w:tcPr>
            <w:cnfStyle w:val="001000000000" w:firstRow="0" w:lastRow="0" w:firstColumn="1" w:lastColumn="0" w:oddVBand="0" w:evenVBand="0" w:oddHBand="0" w:evenHBand="0" w:firstRowFirstColumn="0" w:firstRowLastColumn="0" w:lastRowFirstColumn="0" w:lastRowLastColumn="0"/>
            <w:tcW w:w="925" w:type="dxa"/>
            <w:tcBorders>
              <w:top w:val="single" w:sz="4" w:space="0" w:color="auto"/>
              <w:left w:val="single" w:sz="4" w:space="0" w:color="auto"/>
              <w:bottom w:val="single" w:sz="4" w:space="0" w:color="auto"/>
              <w:right w:val="single" w:sz="4" w:space="0" w:color="auto"/>
            </w:tcBorders>
          </w:tcPr>
          <w:p w14:paraId="41B81800" w14:textId="77777777" w:rsidR="00991D48" w:rsidRDefault="00991D48" w:rsidP="00AB439E">
            <w:r>
              <w:t>7.</w:t>
            </w:r>
          </w:p>
        </w:tc>
        <w:tc>
          <w:tcPr>
            <w:tcW w:w="9155" w:type="dxa"/>
            <w:tcBorders>
              <w:top w:val="single" w:sz="4" w:space="0" w:color="auto"/>
              <w:left w:val="single" w:sz="4" w:space="0" w:color="auto"/>
              <w:bottom w:val="single" w:sz="4" w:space="0" w:color="auto"/>
              <w:right w:val="single" w:sz="4" w:space="0" w:color="auto"/>
            </w:tcBorders>
          </w:tcPr>
          <w:p w14:paraId="4E7D93B6" w14:textId="77777777" w:rsidR="00991D48" w:rsidRDefault="00991D48" w:rsidP="00AB439E">
            <w:pPr>
              <w:cnfStyle w:val="000000000000" w:firstRow="0" w:lastRow="0" w:firstColumn="0" w:lastColumn="0" w:oddVBand="0" w:evenVBand="0" w:oddHBand="0" w:evenHBand="0" w:firstRowFirstColumn="0" w:firstRowLastColumn="0" w:lastRowFirstColumn="0" w:lastRowLastColumn="0"/>
            </w:pPr>
            <w:r w:rsidRPr="00EA2493">
              <w:rPr>
                <w:b/>
              </w:rPr>
              <w:t xml:space="preserve">Section III-F-7. </w:t>
            </w:r>
            <w:r w:rsidRPr="00EA2493">
              <w:t>Those genomic DNA molecules that have acquired a transposable element, provided the transposable element does not contain any recombinant and/or synthetic DNA.</w:t>
            </w:r>
          </w:p>
        </w:tc>
        <w:tc>
          <w:tcPr>
            <w:tcW w:w="720" w:type="dxa"/>
            <w:tcBorders>
              <w:top w:val="single" w:sz="4" w:space="0" w:color="auto"/>
              <w:left w:val="single" w:sz="4" w:space="0" w:color="auto"/>
              <w:bottom w:val="single" w:sz="4" w:space="0" w:color="auto"/>
              <w:right w:val="single" w:sz="4" w:space="0" w:color="auto"/>
            </w:tcBorders>
          </w:tcPr>
          <w:sdt>
            <w:sdtPr>
              <w:id w:val="2052182848"/>
              <w14:checkbox>
                <w14:checked w14:val="0"/>
                <w14:checkedState w14:val="2612" w14:font="MS Gothic"/>
                <w14:uncheckedState w14:val="2610" w14:font="MS Gothic"/>
              </w14:checkbox>
            </w:sdtPr>
            <w:sdtEndPr/>
            <w:sdtContent>
              <w:p w14:paraId="3A30C3A1" w14:textId="77C4E933" w:rsidR="00991D48" w:rsidRDefault="00991D48" w:rsidP="00AB439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p w14:paraId="726120F2" w14:textId="2AF96F19" w:rsidR="00991D48" w:rsidRDefault="00991D48" w:rsidP="00AB439E">
            <w:pPr>
              <w:jc w:val="center"/>
              <w:cnfStyle w:val="000000000000" w:firstRow="0" w:lastRow="0" w:firstColumn="0" w:lastColumn="0" w:oddVBand="0" w:evenVBand="0" w:oddHBand="0" w:evenHBand="0" w:firstRowFirstColumn="0" w:firstRowLastColumn="0" w:lastRowFirstColumn="0" w:lastRowLastColumn="0"/>
            </w:pPr>
          </w:p>
        </w:tc>
      </w:tr>
      <w:tr w:rsidR="00991D48" w14:paraId="62832CF4" w14:textId="77777777" w:rsidTr="00740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5" w:type="dxa"/>
            <w:tcBorders>
              <w:top w:val="single" w:sz="4" w:space="0" w:color="auto"/>
              <w:left w:val="single" w:sz="4" w:space="0" w:color="auto"/>
              <w:bottom w:val="single" w:sz="4" w:space="0" w:color="auto"/>
              <w:right w:val="single" w:sz="4" w:space="0" w:color="auto"/>
            </w:tcBorders>
          </w:tcPr>
          <w:p w14:paraId="2E9AE887" w14:textId="77777777" w:rsidR="00991D48" w:rsidRPr="001800C7" w:rsidRDefault="00991D48" w:rsidP="00AB439E">
            <w:r>
              <w:t>8.</w:t>
            </w:r>
          </w:p>
        </w:tc>
        <w:tc>
          <w:tcPr>
            <w:tcW w:w="9155" w:type="dxa"/>
            <w:tcBorders>
              <w:top w:val="single" w:sz="4" w:space="0" w:color="auto"/>
              <w:left w:val="single" w:sz="4" w:space="0" w:color="auto"/>
              <w:bottom w:val="single" w:sz="4" w:space="0" w:color="auto"/>
              <w:right w:val="single" w:sz="4" w:space="0" w:color="auto"/>
            </w:tcBorders>
          </w:tcPr>
          <w:p w14:paraId="07D74595" w14:textId="77777777" w:rsidR="00991D48" w:rsidRDefault="00991D48" w:rsidP="00AB439E">
            <w:pPr>
              <w:cnfStyle w:val="000000100000" w:firstRow="0" w:lastRow="0" w:firstColumn="0" w:lastColumn="0" w:oddVBand="0" w:evenVBand="0" w:oddHBand="1" w:evenHBand="0" w:firstRowFirstColumn="0" w:firstRowLastColumn="0" w:lastRowFirstColumn="0" w:lastRowLastColumn="0"/>
            </w:pPr>
            <w:r w:rsidRPr="00EA2493">
              <w:rPr>
                <w:b/>
              </w:rPr>
              <w:t xml:space="preserve">Section III-F-8. </w:t>
            </w:r>
            <w:r w:rsidRPr="00EA2493">
              <w:t>Those that do not present a significant risk to health or the environment (see Section IV-C-1-b-(1)-(c), Major Actions), as determined by the NIH Director, with the advice of the RAC, and following appropriate notice and opportunity for public comment. See Appendix C, Exemptions under Section III-F-8 for other classes of experiments which are exempt from the NIH Guidelines.</w:t>
            </w:r>
          </w:p>
        </w:tc>
        <w:tc>
          <w:tcPr>
            <w:tcW w:w="720" w:type="dxa"/>
            <w:tcBorders>
              <w:top w:val="single" w:sz="4" w:space="0" w:color="auto"/>
              <w:left w:val="single" w:sz="4" w:space="0" w:color="auto"/>
              <w:bottom w:val="single" w:sz="4" w:space="0" w:color="auto"/>
              <w:right w:val="single" w:sz="4" w:space="0" w:color="auto"/>
            </w:tcBorders>
          </w:tcPr>
          <w:sdt>
            <w:sdtPr>
              <w:id w:val="-2087530630"/>
              <w14:checkbox>
                <w14:checked w14:val="0"/>
                <w14:checkedState w14:val="2612" w14:font="MS Gothic"/>
                <w14:uncheckedState w14:val="2610" w14:font="MS Gothic"/>
              </w14:checkbox>
            </w:sdtPr>
            <w:sdtEndPr/>
            <w:sdtContent>
              <w:p w14:paraId="073D0507" w14:textId="77777777" w:rsidR="00991D48" w:rsidRDefault="00991D48" w:rsidP="00AB439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p w14:paraId="3C92B053" w14:textId="127E65CE" w:rsidR="00991D48" w:rsidRDefault="00991D48" w:rsidP="00AB439E">
            <w:pPr>
              <w:jc w:val="center"/>
              <w:cnfStyle w:val="000000100000" w:firstRow="0" w:lastRow="0" w:firstColumn="0" w:lastColumn="0" w:oddVBand="0" w:evenVBand="0" w:oddHBand="1" w:evenHBand="0" w:firstRowFirstColumn="0" w:firstRowLastColumn="0" w:lastRowFirstColumn="0" w:lastRowLastColumn="0"/>
            </w:pPr>
          </w:p>
        </w:tc>
      </w:tr>
    </w:tbl>
    <w:p w14:paraId="5D606D72" w14:textId="77777777" w:rsidR="007D6EB6" w:rsidRDefault="009B5373" w:rsidP="007D6EB6">
      <w:r>
        <w:br/>
      </w:r>
      <w:r w:rsidR="0064342E">
        <w:t xml:space="preserve">Note- Knock-Out Animals: Knock-Out (gene silencing, gene ablation, etc.) rodents are exempt from the NIH Guidelines as long as the method to generate the knock-out animal does not leave any “new” genetic material behind in the genome after the procedure. If DNA from the molecule used to create the knock-out is permanently inserted into the genome, the experiment will require review and approval by the IBC. </w:t>
      </w:r>
    </w:p>
    <w:p w14:paraId="5753A254" w14:textId="77777777" w:rsidR="00240F63" w:rsidRDefault="00240F63" w:rsidP="007D6EB6"/>
    <w:tbl>
      <w:tblPr>
        <w:tblStyle w:val="LightShading-Accent5"/>
        <w:tblW w:w="0" w:type="auto"/>
        <w:tblLook w:val="04A0" w:firstRow="1" w:lastRow="0" w:firstColumn="1" w:lastColumn="0" w:noHBand="0" w:noVBand="1"/>
      </w:tblPr>
      <w:tblGrid>
        <w:gridCol w:w="3208"/>
        <w:gridCol w:w="5006"/>
        <w:gridCol w:w="808"/>
        <w:gridCol w:w="1778"/>
      </w:tblGrid>
      <w:tr w:rsidR="0082136A" w14:paraId="673976DC" w14:textId="77777777" w:rsidTr="005C73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gridSpan w:val="4"/>
          </w:tcPr>
          <w:p w14:paraId="3E874A48" w14:textId="77777777" w:rsidR="0082136A" w:rsidRDefault="0082136A" w:rsidP="0082136A">
            <w:pPr>
              <w:tabs>
                <w:tab w:val="right" w:pos="4328"/>
              </w:tabs>
              <w:jc w:val="center"/>
            </w:pPr>
            <w:r>
              <w:t>Investigator Assurance</w:t>
            </w:r>
          </w:p>
        </w:tc>
      </w:tr>
      <w:tr w:rsidR="0082136A" w14:paraId="77AA5C57" w14:textId="77777777" w:rsidTr="005C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gridSpan w:val="4"/>
          </w:tcPr>
          <w:p w14:paraId="2291B36F" w14:textId="754A94DA" w:rsidR="0082136A" w:rsidRDefault="0082136A" w:rsidP="0082136A">
            <w:pPr>
              <w:tabs>
                <w:tab w:val="right" w:pos="4328"/>
              </w:tabs>
            </w:pPr>
            <w:r>
              <w:t xml:space="preserve">By submitting this Exempt rDNA Registration </w:t>
            </w:r>
            <w:r w:rsidR="00240F63">
              <w:t>F</w:t>
            </w:r>
            <w:r>
              <w:t>orm to the Oakland University</w:t>
            </w:r>
            <w:r w:rsidR="00240F63">
              <w:t xml:space="preserve"> IBC</w:t>
            </w:r>
            <w:r>
              <w:t>, I certify the following:</w:t>
            </w:r>
          </w:p>
          <w:p w14:paraId="4A9D772D" w14:textId="77777777" w:rsidR="0082136A" w:rsidRDefault="0082136A" w:rsidP="0082136A">
            <w:pPr>
              <w:pStyle w:val="ListParagraph"/>
              <w:numPr>
                <w:ilvl w:val="0"/>
                <w:numId w:val="4"/>
              </w:numPr>
              <w:tabs>
                <w:tab w:val="right" w:pos="4328"/>
              </w:tabs>
            </w:pPr>
            <w:r>
              <w:t>All work identified on this application will be conducted at a minimum BSL</w:t>
            </w:r>
            <w:r w:rsidR="00763041">
              <w:t>-</w:t>
            </w:r>
            <w:r>
              <w:t>1 containment</w:t>
            </w:r>
            <w:r w:rsidR="00763041">
              <w:t>.</w:t>
            </w:r>
          </w:p>
          <w:p w14:paraId="15F1C8A0" w14:textId="77777777" w:rsidR="0082136A" w:rsidRPr="0082136A" w:rsidRDefault="0082136A" w:rsidP="00763041">
            <w:pPr>
              <w:pStyle w:val="ListParagraph"/>
              <w:numPr>
                <w:ilvl w:val="0"/>
                <w:numId w:val="4"/>
              </w:numPr>
              <w:tabs>
                <w:tab w:val="right" w:pos="4328"/>
              </w:tabs>
            </w:pPr>
            <w:r>
              <w:t>I will promptly notify the IBC of any changes to th</w:t>
            </w:r>
            <w:r w:rsidR="00763041">
              <w:t>is project by amending this form.</w:t>
            </w:r>
          </w:p>
        </w:tc>
      </w:tr>
      <w:tr w:rsidR="0082136A" w14:paraId="37501230" w14:textId="77777777" w:rsidTr="005C73AF">
        <w:tc>
          <w:tcPr>
            <w:cnfStyle w:val="001000000000" w:firstRow="0" w:lastRow="0" w:firstColumn="1" w:lastColumn="0" w:oddVBand="0" w:evenVBand="0" w:oddHBand="0" w:evenHBand="0" w:firstRowFirstColumn="0" w:firstRowLastColumn="0" w:lastRowFirstColumn="0" w:lastRowLastColumn="0"/>
            <w:tcW w:w="3208" w:type="dxa"/>
          </w:tcPr>
          <w:p w14:paraId="5DA57AFA" w14:textId="77777777" w:rsidR="0082136A" w:rsidRDefault="00763041" w:rsidP="00F2116B">
            <w:pPr>
              <w:jc w:val="right"/>
            </w:pPr>
            <w:r>
              <w:t>Principal Investigator Signature:</w:t>
            </w:r>
          </w:p>
        </w:tc>
        <w:tc>
          <w:tcPr>
            <w:tcW w:w="5006" w:type="dxa"/>
          </w:tcPr>
          <w:p w14:paraId="306BAEF3" w14:textId="77777777" w:rsidR="0082136A" w:rsidRDefault="0082136A" w:rsidP="00D05F65">
            <w:pPr>
              <w:cnfStyle w:val="000000000000" w:firstRow="0" w:lastRow="0" w:firstColumn="0" w:lastColumn="0" w:oddVBand="0" w:evenVBand="0" w:oddHBand="0" w:evenHBand="0" w:firstRowFirstColumn="0" w:firstRowLastColumn="0" w:lastRowFirstColumn="0" w:lastRowLastColumn="0"/>
            </w:pPr>
          </w:p>
          <w:p w14:paraId="2E2369DC" w14:textId="77777777" w:rsidR="00143288" w:rsidRDefault="00143288" w:rsidP="00D05F65">
            <w:pPr>
              <w:cnfStyle w:val="000000000000" w:firstRow="0" w:lastRow="0" w:firstColumn="0" w:lastColumn="0" w:oddVBand="0" w:evenVBand="0" w:oddHBand="0" w:evenHBand="0" w:firstRowFirstColumn="0" w:firstRowLastColumn="0" w:lastRowFirstColumn="0" w:lastRowLastColumn="0"/>
            </w:pPr>
          </w:p>
        </w:tc>
        <w:tc>
          <w:tcPr>
            <w:tcW w:w="808" w:type="dxa"/>
          </w:tcPr>
          <w:p w14:paraId="1FA0DEA3" w14:textId="77777777" w:rsidR="0082136A" w:rsidRDefault="00763041" w:rsidP="00C051ED">
            <w:pPr>
              <w:jc w:val="right"/>
              <w:cnfStyle w:val="000000000000" w:firstRow="0" w:lastRow="0" w:firstColumn="0" w:lastColumn="0" w:oddVBand="0" w:evenVBand="0" w:oddHBand="0" w:evenHBand="0" w:firstRowFirstColumn="0" w:firstRowLastColumn="0" w:lastRowFirstColumn="0" w:lastRowLastColumn="0"/>
            </w:pPr>
            <w:r>
              <w:t>Date:</w:t>
            </w:r>
          </w:p>
        </w:tc>
        <w:tc>
          <w:tcPr>
            <w:tcW w:w="1778" w:type="dxa"/>
          </w:tcPr>
          <w:p w14:paraId="7989D227" w14:textId="77777777" w:rsidR="0082136A" w:rsidRDefault="0082136A" w:rsidP="00A06230">
            <w:pPr>
              <w:tabs>
                <w:tab w:val="right" w:pos="4328"/>
              </w:tabs>
              <w:cnfStyle w:val="000000000000" w:firstRow="0" w:lastRow="0" w:firstColumn="0" w:lastColumn="0" w:oddVBand="0" w:evenVBand="0" w:oddHBand="0" w:evenHBand="0" w:firstRowFirstColumn="0" w:firstRowLastColumn="0" w:lastRowFirstColumn="0" w:lastRowLastColumn="0"/>
            </w:pPr>
          </w:p>
        </w:tc>
      </w:tr>
    </w:tbl>
    <w:p w14:paraId="15D68432" w14:textId="0A0EC476" w:rsidR="00763041" w:rsidRDefault="00763041"/>
    <w:tbl>
      <w:tblPr>
        <w:tblStyle w:val="LightShading"/>
        <w:tblW w:w="0" w:type="auto"/>
        <w:tblLook w:val="04A0" w:firstRow="1" w:lastRow="0" w:firstColumn="1" w:lastColumn="0" w:noHBand="0" w:noVBand="1"/>
      </w:tblPr>
      <w:tblGrid>
        <w:gridCol w:w="3110"/>
        <w:gridCol w:w="5369"/>
        <w:gridCol w:w="2321"/>
      </w:tblGrid>
      <w:tr w:rsidR="00763041" w14:paraId="73C7DD8C" w14:textId="77777777" w:rsidTr="00D86E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gridSpan w:val="3"/>
          </w:tcPr>
          <w:p w14:paraId="619A33F3" w14:textId="77777777" w:rsidR="00763041" w:rsidRDefault="00763041" w:rsidP="00763041">
            <w:pPr>
              <w:tabs>
                <w:tab w:val="right" w:pos="4328"/>
              </w:tabs>
              <w:jc w:val="center"/>
            </w:pPr>
            <w:r>
              <w:t>IBC</w:t>
            </w:r>
            <w:r w:rsidR="007A74C3">
              <w:t xml:space="preserve"> / Research</w:t>
            </w:r>
            <w:r>
              <w:t xml:space="preserve"> Office Use Only</w:t>
            </w:r>
          </w:p>
        </w:tc>
      </w:tr>
      <w:tr w:rsidR="006D0104" w14:paraId="052552C4" w14:textId="77777777" w:rsidTr="007A74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58B2FC1" w14:textId="77777777" w:rsidR="006D0104" w:rsidRDefault="006D0104" w:rsidP="006D0104">
            <w:r>
              <w:t>IBC Approval #:</w:t>
            </w:r>
            <w:r w:rsidR="00537B27">
              <w:t xml:space="preserve"> </w:t>
            </w:r>
            <w:r w:rsidR="00537B27">
              <w:br/>
              <w:t>Date:</w:t>
            </w:r>
          </w:p>
        </w:tc>
        <w:tc>
          <w:tcPr>
            <w:tcW w:w="5490" w:type="dxa"/>
          </w:tcPr>
          <w:p w14:paraId="57B3EE88" w14:textId="77777777" w:rsidR="006D0104" w:rsidRDefault="006D0104" w:rsidP="006D0104">
            <w:pPr>
              <w:cnfStyle w:val="000000100000" w:firstRow="0" w:lastRow="0" w:firstColumn="0" w:lastColumn="0" w:oddVBand="0" w:evenVBand="0" w:oddHBand="1" w:evenHBand="0" w:firstRowFirstColumn="0" w:firstRowLastColumn="0" w:lastRowFirstColumn="0" w:lastRowLastColumn="0"/>
            </w:pPr>
            <w:r>
              <w:t xml:space="preserve">Approval Status:  </w:t>
            </w:r>
            <w:sdt>
              <w:sdtPr>
                <w:id w:val="10888917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Exempt      </w:t>
            </w:r>
            <w:sdt>
              <w:sdtPr>
                <w:id w:val="18519075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Deemed Not Exempt</w:t>
            </w:r>
          </w:p>
        </w:tc>
        <w:tc>
          <w:tcPr>
            <w:tcW w:w="2358" w:type="dxa"/>
          </w:tcPr>
          <w:p w14:paraId="2CD2B511" w14:textId="77777777" w:rsidR="00537B27" w:rsidRDefault="00D676A5" w:rsidP="00A06230">
            <w:pPr>
              <w:tabs>
                <w:tab w:val="right" w:pos="4328"/>
              </w:tabs>
              <w:cnfStyle w:val="000000100000" w:firstRow="0" w:lastRow="0" w:firstColumn="0" w:lastColumn="0" w:oddVBand="0" w:evenVBand="0" w:oddHBand="1" w:evenHBand="0" w:firstRowFirstColumn="0" w:firstRowLastColumn="0" w:lastRowFirstColumn="0" w:lastRowLastColumn="0"/>
            </w:pPr>
            <w:sdt>
              <w:sdtPr>
                <w:id w:val="500085860"/>
                <w14:checkbox>
                  <w14:checked w14:val="0"/>
                  <w14:checkedState w14:val="2612" w14:font="MS Gothic"/>
                  <w14:uncheckedState w14:val="2610" w14:font="MS Gothic"/>
                </w14:checkbox>
              </w:sdtPr>
              <w:sdtEndPr/>
              <w:sdtContent>
                <w:r w:rsidR="00537B27">
                  <w:rPr>
                    <w:rFonts w:ascii="MS Gothic" w:eastAsia="MS Gothic" w:hAnsi="MS Gothic" w:hint="eastAsia"/>
                  </w:rPr>
                  <w:t>☐</w:t>
                </w:r>
              </w:sdtContent>
            </w:sdt>
            <w:r w:rsidR="00537B27">
              <w:t xml:space="preserve">Requires IBC Review </w:t>
            </w:r>
          </w:p>
          <w:p w14:paraId="2A7928F7" w14:textId="77777777" w:rsidR="006D0104" w:rsidRDefault="006D0104" w:rsidP="00A06230">
            <w:pPr>
              <w:tabs>
                <w:tab w:val="right" w:pos="4328"/>
              </w:tabs>
              <w:cnfStyle w:val="000000100000" w:firstRow="0" w:lastRow="0" w:firstColumn="0" w:lastColumn="0" w:oddVBand="0" w:evenVBand="0" w:oddHBand="1" w:evenHBand="0" w:firstRowFirstColumn="0" w:firstRowLastColumn="0" w:lastRowFirstColumn="0" w:lastRowLastColumn="0"/>
            </w:pPr>
          </w:p>
        </w:tc>
      </w:tr>
      <w:tr w:rsidR="00193ACF" w14:paraId="012DE5BB" w14:textId="77777777" w:rsidTr="007A74C3">
        <w:tc>
          <w:tcPr>
            <w:cnfStyle w:val="001000000000" w:firstRow="0" w:lastRow="0" w:firstColumn="1" w:lastColumn="0" w:oddVBand="0" w:evenVBand="0" w:oddHBand="0" w:evenHBand="0" w:firstRowFirstColumn="0" w:firstRowLastColumn="0" w:lastRowFirstColumn="0" w:lastRowLastColumn="0"/>
            <w:tcW w:w="3168" w:type="dxa"/>
          </w:tcPr>
          <w:p w14:paraId="0708301D" w14:textId="5AED4F63" w:rsidR="00193ACF" w:rsidRDefault="00193ACF" w:rsidP="006D0104"/>
        </w:tc>
        <w:tc>
          <w:tcPr>
            <w:tcW w:w="5490" w:type="dxa"/>
          </w:tcPr>
          <w:p w14:paraId="602A799D" w14:textId="18E9F712" w:rsidR="00193ACF" w:rsidRDefault="00193ACF" w:rsidP="006D0104">
            <w:pPr>
              <w:cnfStyle w:val="000000000000" w:firstRow="0" w:lastRow="0" w:firstColumn="0" w:lastColumn="0" w:oddVBand="0" w:evenVBand="0" w:oddHBand="0" w:evenHBand="0" w:firstRowFirstColumn="0" w:firstRowLastColumn="0" w:lastRowFirstColumn="0" w:lastRowLastColumn="0"/>
            </w:pPr>
          </w:p>
        </w:tc>
        <w:tc>
          <w:tcPr>
            <w:tcW w:w="2358" w:type="dxa"/>
          </w:tcPr>
          <w:p w14:paraId="588854E6" w14:textId="77777777" w:rsidR="00193ACF" w:rsidRDefault="00193ACF" w:rsidP="00A06230">
            <w:pPr>
              <w:tabs>
                <w:tab w:val="right" w:pos="4328"/>
              </w:tabs>
              <w:cnfStyle w:val="000000000000" w:firstRow="0" w:lastRow="0" w:firstColumn="0" w:lastColumn="0" w:oddVBand="0" w:evenVBand="0" w:oddHBand="0" w:evenHBand="0" w:firstRowFirstColumn="0" w:firstRowLastColumn="0" w:lastRowFirstColumn="0" w:lastRowLastColumn="0"/>
            </w:pPr>
          </w:p>
        </w:tc>
      </w:tr>
    </w:tbl>
    <w:p w14:paraId="651838A6" w14:textId="73939178" w:rsidR="00193ACF" w:rsidRDefault="00193ACF">
      <w:r>
        <w:rPr>
          <w:noProof/>
          <w:sz w:val="20"/>
          <w:szCs w:val="20"/>
        </w:rPr>
        <mc:AlternateContent>
          <mc:Choice Requires="wps">
            <w:drawing>
              <wp:anchor distT="0" distB="0" distL="114300" distR="114300" simplePos="0" relativeHeight="251661312" behindDoc="0" locked="0" layoutInCell="1" allowOverlap="1" wp14:anchorId="286F7FCE" wp14:editId="64445373">
                <wp:simplePos x="0" y="0"/>
                <wp:positionH relativeFrom="margin">
                  <wp:posOffset>-54171</wp:posOffset>
                </wp:positionH>
                <wp:positionV relativeFrom="paragraph">
                  <wp:posOffset>97186</wp:posOffset>
                </wp:positionV>
                <wp:extent cx="3393248" cy="1092080"/>
                <wp:effectExtent l="0" t="0" r="17145" b="13335"/>
                <wp:wrapNone/>
                <wp:docPr id="2" name="Text Box 2"/>
                <wp:cNvGraphicFramePr/>
                <a:graphic xmlns:a="http://schemas.openxmlformats.org/drawingml/2006/main">
                  <a:graphicData uri="http://schemas.microsoft.com/office/word/2010/wordprocessingShape">
                    <wps:wsp>
                      <wps:cNvSpPr txBox="1"/>
                      <wps:spPr>
                        <a:xfrm>
                          <a:off x="0" y="0"/>
                          <a:ext cx="3393248" cy="1092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04A63E" w14:textId="30DF9D97" w:rsidR="00193ACF" w:rsidRPr="00740EE5" w:rsidRDefault="001029B9" w:rsidP="001029B9">
                            <w:pPr>
                              <w:rPr>
                                <w:b/>
                              </w:rPr>
                            </w:pPr>
                            <w:r>
                              <w:rPr>
                                <w:b/>
                              </w:rPr>
                              <w:t xml:space="preserve">Email </w:t>
                            </w:r>
                            <w:r w:rsidRPr="001029B9">
                              <w:rPr>
                                <w:b/>
                              </w:rPr>
                              <w:t xml:space="preserve">completed form to:  Dr. Judette Haddad, Regulatory Compliance Coordinator, </w:t>
                            </w:r>
                            <w:proofErr w:type="gramStart"/>
                            <w:r w:rsidRPr="001029B9">
                              <w:rPr>
                                <w:b/>
                              </w:rPr>
                              <w:t>Office</w:t>
                            </w:r>
                            <w:proofErr w:type="gramEnd"/>
                            <w:r>
                              <w:rPr>
                                <w:b/>
                              </w:rPr>
                              <w:t xml:space="preserve"> of Research Administration, at </w:t>
                            </w:r>
                            <w:r w:rsidRPr="001029B9">
                              <w:rPr>
                                <w:b/>
                              </w:rPr>
                              <w:t xml:space="preserve">Email: haddad@oakland.edu   </w:t>
                            </w:r>
                            <w:r w:rsidR="00193ACF" w:rsidRPr="00740EE5">
                              <w:br/>
                            </w:r>
                            <w:r w:rsidR="00193ACF" w:rsidRPr="00193ACF">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F7FCE" id="Text Box 2" o:spid="_x0000_s1027" type="#_x0000_t202" style="position:absolute;margin-left:-4.25pt;margin-top:7.65pt;width:267.2pt;height: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" fillcolor="white [3201]" strokeweight=".5pt">
                <v:textbox>
                  <w:txbxContent>
                    <w:p w14:paraId="1804A63E" w14:textId="30DF9D97" w:rsidR="00193ACF" w:rsidRPr="00740EE5" w:rsidRDefault="001029B9" w:rsidP="001029B9">
                      <w:pPr>
                        <w:rPr>
                          <w:b/>
                        </w:rPr>
                      </w:pPr>
                      <w:r>
                        <w:rPr>
                          <w:b/>
                        </w:rPr>
                        <w:t xml:space="preserve">Email </w:t>
                      </w:r>
                      <w:r w:rsidRPr="001029B9">
                        <w:rPr>
                          <w:b/>
                        </w:rPr>
                        <w:t xml:space="preserve">completed form to:  Dr. Judette Haddad, Regulatory Compliance Coordinator, </w:t>
                      </w:r>
                      <w:proofErr w:type="gramStart"/>
                      <w:r w:rsidRPr="001029B9">
                        <w:rPr>
                          <w:b/>
                        </w:rPr>
                        <w:t>Office</w:t>
                      </w:r>
                      <w:proofErr w:type="gramEnd"/>
                      <w:r>
                        <w:rPr>
                          <w:b/>
                        </w:rPr>
                        <w:t xml:space="preserve"> of Research Administration, at </w:t>
                      </w:r>
                      <w:r w:rsidRPr="001029B9">
                        <w:rPr>
                          <w:b/>
                        </w:rPr>
                        <w:t xml:space="preserve">Email: haddad@oakland.edu   </w:t>
                      </w:r>
                      <w:r w:rsidR="00193ACF" w:rsidRPr="00740EE5">
                        <w:br/>
                      </w:r>
                      <w:r w:rsidR="00193ACF" w:rsidRPr="00193ACF">
                        <w:br/>
                      </w:r>
                    </w:p>
                  </w:txbxContent>
                </v:textbox>
                <w10:wrap anchorx="margin"/>
              </v:shape>
            </w:pict>
          </mc:Fallback>
        </mc:AlternateContent>
      </w:r>
      <w:r w:rsidR="0064342E">
        <w:br w:type="page"/>
      </w:r>
    </w:p>
    <w:p w14:paraId="7F1243F2" w14:textId="77777777" w:rsidR="0064342E" w:rsidRPr="004469F0" w:rsidRDefault="0064342E" w:rsidP="0064342E">
      <w:pPr>
        <w:pStyle w:val="Default"/>
        <w:rPr>
          <w:sz w:val="20"/>
          <w:szCs w:val="20"/>
        </w:rPr>
      </w:pPr>
      <w:r w:rsidRPr="004469F0">
        <w:rPr>
          <w:b/>
          <w:bCs/>
          <w:sz w:val="20"/>
          <w:szCs w:val="20"/>
        </w:rPr>
        <w:t xml:space="preserve">APPENDIX C. EXEMPTIONS UNDER SECTION III-F-8 </w:t>
      </w:r>
    </w:p>
    <w:p w14:paraId="7AC5A48E" w14:textId="77777777" w:rsidR="0064342E" w:rsidRPr="004469F0" w:rsidRDefault="0064342E" w:rsidP="0064342E">
      <w:pPr>
        <w:pStyle w:val="Default"/>
        <w:rPr>
          <w:sz w:val="20"/>
          <w:szCs w:val="20"/>
        </w:rPr>
      </w:pPr>
      <w:r w:rsidRPr="004469F0">
        <w:rPr>
          <w:sz w:val="20"/>
          <w:szCs w:val="20"/>
        </w:rPr>
        <w:t xml:space="preserve">Section III-F-8 states that exempt from these </w:t>
      </w:r>
      <w:r w:rsidRPr="004469F0">
        <w:rPr>
          <w:i/>
          <w:iCs/>
          <w:sz w:val="20"/>
          <w:szCs w:val="20"/>
        </w:rPr>
        <w:t xml:space="preserve">NIH Guidelines </w:t>
      </w:r>
      <w:r w:rsidRPr="004469F0">
        <w:rPr>
          <w:sz w:val="20"/>
          <w:szCs w:val="20"/>
        </w:rPr>
        <w:t xml:space="preserve">are "those that do not present a significant risk to health or the environment (see Section IV-C-1-b-(1)-(c), </w:t>
      </w:r>
      <w:r w:rsidRPr="004469F0">
        <w:rPr>
          <w:i/>
          <w:iCs/>
          <w:sz w:val="20"/>
          <w:szCs w:val="20"/>
        </w:rPr>
        <w:t>NIH Director--Specific Responsibilities</w:t>
      </w:r>
      <w:r w:rsidRPr="004469F0">
        <w:rPr>
          <w:sz w:val="20"/>
          <w:szCs w:val="20"/>
        </w:rPr>
        <w:t xml:space="preserve">), as determined by the NIH Director, with the advice of the RAC, and following appropriate notice and opportunity for public comment. See Appendix C, </w:t>
      </w:r>
      <w:r w:rsidRPr="004469F0">
        <w:rPr>
          <w:i/>
          <w:iCs/>
          <w:sz w:val="20"/>
          <w:szCs w:val="20"/>
        </w:rPr>
        <w:t>Exemptions under Sections III-F-8</w:t>
      </w:r>
      <w:r w:rsidRPr="004469F0">
        <w:rPr>
          <w:sz w:val="20"/>
          <w:szCs w:val="20"/>
        </w:rPr>
        <w:t xml:space="preserve">, for other classes of experiments which are exempt from the </w:t>
      </w:r>
      <w:r w:rsidRPr="004469F0">
        <w:rPr>
          <w:i/>
          <w:iCs/>
          <w:sz w:val="20"/>
          <w:szCs w:val="20"/>
        </w:rPr>
        <w:t>NIH Guidelines</w:t>
      </w:r>
      <w:r w:rsidRPr="004469F0">
        <w:rPr>
          <w:sz w:val="20"/>
          <w:szCs w:val="20"/>
        </w:rPr>
        <w:t xml:space="preserve">." The following classes of experiments are exempt under Section III-F-8: </w:t>
      </w:r>
    </w:p>
    <w:p w14:paraId="0B46CF5B" w14:textId="77777777" w:rsidR="0064342E" w:rsidRPr="004469F0" w:rsidRDefault="0064342E" w:rsidP="0064342E">
      <w:pPr>
        <w:pStyle w:val="Default"/>
        <w:rPr>
          <w:sz w:val="20"/>
          <w:szCs w:val="20"/>
        </w:rPr>
      </w:pPr>
      <w:r w:rsidRPr="004469F0">
        <w:rPr>
          <w:b/>
          <w:bCs/>
          <w:sz w:val="20"/>
          <w:szCs w:val="20"/>
        </w:rPr>
        <w:t xml:space="preserve">Appendix C-I. Recombinant or Synthetic Nucleic Acid Molecules in Tissue Culture </w:t>
      </w:r>
    </w:p>
    <w:p w14:paraId="368D7B99" w14:textId="77777777" w:rsidR="0064342E" w:rsidRPr="004469F0" w:rsidRDefault="0064342E" w:rsidP="0064342E">
      <w:pPr>
        <w:pStyle w:val="Default"/>
        <w:rPr>
          <w:sz w:val="20"/>
          <w:szCs w:val="20"/>
        </w:rPr>
      </w:pPr>
      <w:r w:rsidRPr="004469F0">
        <w:rPr>
          <w:sz w:val="20"/>
          <w:szCs w:val="20"/>
        </w:rPr>
        <w:t xml:space="preserve">Recombinant or synthetic nucleic acid molecules containing less than one-half of any eukaryotic viral genome (all viruses from a single family being considered identical -- see Appendix C-IX-E, </w:t>
      </w:r>
      <w:r w:rsidRPr="004469F0">
        <w:rPr>
          <w:i/>
          <w:iCs/>
          <w:sz w:val="20"/>
          <w:szCs w:val="20"/>
        </w:rPr>
        <w:t>Footnotes and References of Appendix C</w:t>
      </w:r>
      <w:r w:rsidRPr="004469F0">
        <w:rPr>
          <w:sz w:val="20"/>
          <w:szCs w:val="20"/>
        </w:rPr>
        <w:t xml:space="preserve">), that are propagated and maintained in cells in tissue culture are exempt from these </w:t>
      </w:r>
      <w:r w:rsidRPr="004469F0">
        <w:rPr>
          <w:i/>
          <w:iCs/>
          <w:sz w:val="20"/>
          <w:szCs w:val="20"/>
        </w:rPr>
        <w:t xml:space="preserve">NIH Guidelines </w:t>
      </w:r>
      <w:r w:rsidRPr="004469F0">
        <w:rPr>
          <w:sz w:val="20"/>
          <w:szCs w:val="20"/>
        </w:rPr>
        <w:t xml:space="preserve">with the exceptions listed in Appendix C-I-A. </w:t>
      </w:r>
    </w:p>
    <w:p w14:paraId="6CCB767E" w14:textId="77777777" w:rsidR="0064342E" w:rsidRPr="004469F0" w:rsidRDefault="0064342E" w:rsidP="0064342E">
      <w:pPr>
        <w:pStyle w:val="Default"/>
        <w:rPr>
          <w:sz w:val="20"/>
          <w:szCs w:val="20"/>
        </w:rPr>
      </w:pPr>
      <w:r w:rsidRPr="004469F0">
        <w:rPr>
          <w:b/>
          <w:bCs/>
          <w:sz w:val="20"/>
          <w:szCs w:val="20"/>
        </w:rPr>
        <w:t xml:space="preserve">Appendix C-I-A. Exceptions </w:t>
      </w:r>
    </w:p>
    <w:p w14:paraId="548DBEC7" w14:textId="77777777" w:rsidR="0064342E" w:rsidRPr="004469F0" w:rsidRDefault="0064342E" w:rsidP="0064342E">
      <w:pPr>
        <w:pStyle w:val="Default"/>
        <w:rPr>
          <w:sz w:val="20"/>
          <w:szCs w:val="20"/>
        </w:rPr>
      </w:pPr>
      <w:r w:rsidRPr="004469F0">
        <w:rPr>
          <w:sz w:val="20"/>
          <w:szCs w:val="20"/>
        </w:rPr>
        <w:t xml:space="preserve">The following categories are not exempt from the </w:t>
      </w:r>
      <w:r w:rsidRPr="004469F0">
        <w:rPr>
          <w:i/>
          <w:iCs/>
          <w:sz w:val="20"/>
          <w:szCs w:val="20"/>
        </w:rPr>
        <w:t>NIH Guidelines</w:t>
      </w:r>
      <w:r w:rsidRPr="004469F0">
        <w:rPr>
          <w:sz w:val="20"/>
          <w:szCs w:val="20"/>
        </w:rPr>
        <w:t>: (</w:t>
      </w:r>
      <w:proofErr w:type="spellStart"/>
      <w:r w:rsidRPr="004469F0">
        <w:rPr>
          <w:sz w:val="20"/>
          <w:szCs w:val="20"/>
        </w:rPr>
        <w:t>i</w:t>
      </w:r>
      <w:proofErr w:type="spellEnd"/>
      <w:r w:rsidRPr="004469F0">
        <w:rPr>
          <w:sz w:val="20"/>
          <w:szCs w:val="20"/>
        </w:rPr>
        <w:t xml:space="preserve">) experiments described in Section III-B which require NIH/OBA and Institutional Biosafety Committee approval before initiation, (ii) experiments involving DNA from Risk Groups 3, 4, or restricted organisms (see Appendix B, </w:t>
      </w:r>
      <w:r w:rsidRPr="004469F0">
        <w:rPr>
          <w:i/>
          <w:iCs/>
          <w:sz w:val="20"/>
          <w:szCs w:val="20"/>
        </w:rPr>
        <w:t>Classification of Human Etiologic Agents on the Basis of Hazard</w:t>
      </w:r>
      <w:r w:rsidRPr="004469F0">
        <w:rPr>
          <w:sz w:val="20"/>
          <w:szCs w:val="20"/>
        </w:rPr>
        <w:t xml:space="preserve">, and Sections V-G and V-L, </w:t>
      </w:r>
      <w:r w:rsidRPr="004469F0">
        <w:rPr>
          <w:i/>
          <w:iCs/>
          <w:sz w:val="20"/>
          <w:szCs w:val="20"/>
        </w:rPr>
        <w:t>Footnotes and References of Sections I through IV</w:t>
      </w:r>
      <w:r w:rsidRPr="004469F0">
        <w:rPr>
          <w:sz w:val="20"/>
          <w:szCs w:val="20"/>
        </w:rPr>
        <w:t xml:space="preserve">) or cells known to be infected with these agents, (iii) experiments involving the deliberate introduction of genes coding for the biosynthesis of molecules that are toxic for vertebrates (see Appendix F, </w:t>
      </w:r>
      <w:r w:rsidRPr="004469F0">
        <w:rPr>
          <w:i/>
          <w:iCs/>
          <w:sz w:val="20"/>
          <w:szCs w:val="20"/>
        </w:rPr>
        <w:t>Containment Conditions for Cloning of Genes Coding for the Biosynthesis of Molecules Toxic for Vertebrates</w:t>
      </w:r>
      <w:r w:rsidRPr="004469F0">
        <w:rPr>
          <w:sz w:val="20"/>
          <w:szCs w:val="20"/>
        </w:rPr>
        <w:t xml:space="preserve">), and (iv) whole plants regenerated from plant cells and tissue cultures are covered by the exemption provided they remain axenic cultures even though they differentiate into embryonic tissue and regenerate into plantlets. </w:t>
      </w:r>
    </w:p>
    <w:p w14:paraId="5CDCADA3" w14:textId="77777777" w:rsidR="0064342E" w:rsidRPr="004469F0" w:rsidRDefault="0064342E" w:rsidP="0064342E">
      <w:pPr>
        <w:pStyle w:val="Default"/>
        <w:rPr>
          <w:sz w:val="20"/>
          <w:szCs w:val="20"/>
        </w:rPr>
      </w:pPr>
      <w:r w:rsidRPr="004469F0">
        <w:rPr>
          <w:b/>
          <w:bCs/>
          <w:sz w:val="20"/>
          <w:szCs w:val="20"/>
        </w:rPr>
        <w:t xml:space="preserve">Appendix C-II. </w:t>
      </w:r>
      <w:r w:rsidRPr="004469F0">
        <w:rPr>
          <w:i/>
          <w:iCs/>
          <w:sz w:val="20"/>
          <w:szCs w:val="20"/>
        </w:rPr>
        <w:t xml:space="preserve">Escherichia coli K-12 </w:t>
      </w:r>
      <w:r w:rsidRPr="004469F0">
        <w:rPr>
          <w:b/>
          <w:bCs/>
          <w:sz w:val="20"/>
          <w:szCs w:val="20"/>
        </w:rPr>
        <w:t xml:space="preserve">Host-Vector Systems </w:t>
      </w:r>
    </w:p>
    <w:p w14:paraId="18FE1BC9" w14:textId="77777777" w:rsidR="000E3B5A" w:rsidRPr="00740EE5" w:rsidRDefault="0064342E" w:rsidP="0064342E">
      <w:pPr>
        <w:rPr>
          <w:rFonts w:ascii="Arial" w:hAnsi="Arial" w:cs="Arial"/>
          <w:sz w:val="20"/>
          <w:szCs w:val="20"/>
        </w:rPr>
      </w:pPr>
      <w:r w:rsidRPr="00740EE5">
        <w:rPr>
          <w:rFonts w:ascii="Arial" w:hAnsi="Arial" w:cs="Arial"/>
          <w:sz w:val="20"/>
          <w:szCs w:val="20"/>
        </w:rPr>
        <w:t xml:space="preserve">Experiments which use </w:t>
      </w:r>
      <w:r w:rsidRPr="00740EE5">
        <w:rPr>
          <w:rFonts w:ascii="Arial" w:hAnsi="Arial" w:cs="Arial"/>
          <w:i/>
          <w:iCs/>
          <w:sz w:val="20"/>
          <w:szCs w:val="20"/>
        </w:rPr>
        <w:t xml:space="preserve">Escherichia coli </w:t>
      </w:r>
      <w:r w:rsidRPr="00740EE5">
        <w:rPr>
          <w:rFonts w:ascii="Arial" w:hAnsi="Arial" w:cs="Arial"/>
          <w:sz w:val="20"/>
          <w:szCs w:val="20"/>
        </w:rPr>
        <w:t xml:space="preserve">K-12 host-vector systems, with the exception of those experiments listed in Appendix C-II-A, are exempt from the </w:t>
      </w:r>
      <w:r w:rsidRPr="00740EE5">
        <w:rPr>
          <w:rFonts w:ascii="Arial" w:hAnsi="Arial" w:cs="Arial"/>
          <w:i/>
          <w:iCs/>
          <w:sz w:val="20"/>
          <w:szCs w:val="20"/>
        </w:rPr>
        <w:t xml:space="preserve">NIH Guidelines </w:t>
      </w:r>
      <w:r w:rsidRPr="00740EE5">
        <w:rPr>
          <w:rFonts w:ascii="Arial" w:hAnsi="Arial" w:cs="Arial"/>
          <w:sz w:val="20"/>
          <w:szCs w:val="20"/>
        </w:rPr>
        <w:t>provided that: (</w:t>
      </w:r>
      <w:proofErr w:type="spellStart"/>
      <w:r w:rsidRPr="00740EE5">
        <w:rPr>
          <w:rFonts w:ascii="Arial" w:hAnsi="Arial" w:cs="Arial"/>
          <w:sz w:val="20"/>
          <w:szCs w:val="20"/>
        </w:rPr>
        <w:t>i</w:t>
      </w:r>
      <w:proofErr w:type="spellEnd"/>
      <w:r w:rsidRPr="00740EE5">
        <w:rPr>
          <w:rFonts w:ascii="Arial" w:hAnsi="Arial" w:cs="Arial"/>
          <w:sz w:val="20"/>
          <w:szCs w:val="20"/>
        </w:rPr>
        <w:t xml:space="preserve">) the </w:t>
      </w:r>
      <w:r w:rsidRPr="00740EE5">
        <w:rPr>
          <w:rFonts w:ascii="Arial" w:hAnsi="Arial" w:cs="Arial"/>
          <w:i/>
          <w:iCs/>
          <w:sz w:val="20"/>
          <w:szCs w:val="20"/>
        </w:rPr>
        <w:t xml:space="preserve">Escherichia coli </w:t>
      </w:r>
      <w:r w:rsidRPr="00740EE5">
        <w:rPr>
          <w:rFonts w:ascii="Arial" w:hAnsi="Arial" w:cs="Arial"/>
          <w:sz w:val="20"/>
          <w:szCs w:val="20"/>
        </w:rPr>
        <w:t xml:space="preserve">host does not contain conjugation proficient plasmids or generalized transducing phages; or (ii) lambda or lambdoid or </w:t>
      </w:r>
      <w:proofErr w:type="spellStart"/>
      <w:r w:rsidRPr="00740EE5">
        <w:rPr>
          <w:rFonts w:ascii="Arial" w:hAnsi="Arial" w:cs="Arial"/>
          <w:sz w:val="20"/>
          <w:szCs w:val="20"/>
        </w:rPr>
        <w:t>Ff</w:t>
      </w:r>
      <w:proofErr w:type="spellEnd"/>
      <w:r w:rsidRPr="00740EE5">
        <w:rPr>
          <w:rFonts w:ascii="Arial" w:hAnsi="Arial" w:cs="Arial"/>
          <w:sz w:val="20"/>
          <w:szCs w:val="20"/>
        </w:rPr>
        <w:t xml:space="preserve"> bacteriophages or non-conjugative plasmids (see Appendix C-IX-B, </w:t>
      </w:r>
      <w:r w:rsidRPr="00740EE5">
        <w:rPr>
          <w:rFonts w:ascii="Arial" w:hAnsi="Arial" w:cs="Arial"/>
          <w:i/>
          <w:iCs/>
          <w:sz w:val="20"/>
          <w:szCs w:val="20"/>
        </w:rPr>
        <w:t>Footnotes and References of Appendix C</w:t>
      </w:r>
      <w:r w:rsidRPr="00740EE5">
        <w:rPr>
          <w:rFonts w:ascii="Arial" w:hAnsi="Arial" w:cs="Arial"/>
          <w:sz w:val="20"/>
          <w:szCs w:val="20"/>
        </w:rPr>
        <w:t xml:space="preserve">) shall be used as vectors. However, experiments involving the insertion into </w:t>
      </w:r>
      <w:r w:rsidRPr="00740EE5">
        <w:rPr>
          <w:rFonts w:ascii="Arial" w:hAnsi="Arial" w:cs="Arial"/>
          <w:i/>
          <w:iCs/>
          <w:sz w:val="20"/>
          <w:szCs w:val="20"/>
        </w:rPr>
        <w:t xml:space="preserve">Escherichia coli </w:t>
      </w:r>
      <w:r w:rsidRPr="00740EE5">
        <w:rPr>
          <w:rFonts w:ascii="Arial" w:hAnsi="Arial" w:cs="Arial"/>
          <w:sz w:val="20"/>
          <w:szCs w:val="20"/>
        </w:rPr>
        <w:t xml:space="preserve">K-12 of DNA from with </w:t>
      </w:r>
      <w:r w:rsidRPr="00740EE5">
        <w:rPr>
          <w:rFonts w:ascii="Arial" w:hAnsi="Arial" w:cs="Arial"/>
          <w:i/>
          <w:iCs/>
          <w:sz w:val="20"/>
          <w:szCs w:val="20"/>
        </w:rPr>
        <w:t xml:space="preserve">Escherichia coli </w:t>
      </w:r>
      <w:r w:rsidRPr="00740EE5">
        <w:rPr>
          <w:rFonts w:ascii="Arial" w:hAnsi="Arial" w:cs="Arial"/>
          <w:sz w:val="20"/>
          <w:szCs w:val="20"/>
        </w:rPr>
        <w:t xml:space="preserve">may be performed with any </w:t>
      </w:r>
      <w:r w:rsidRPr="00740EE5">
        <w:rPr>
          <w:rFonts w:ascii="Arial" w:hAnsi="Arial" w:cs="Arial"/>
          <w:i/>
          <w:iCs/>
          <w:sz w:val="20"/>
          <w:szCs w:val="20"/>
        </w:rPr>
        <w:t xml:space="preserve">Escherichia coli </w:t>
      </w:r>
      <w:r w:rsidRPr="00740EE5">
        <w:rPr>
          <w:rFonts w:ascii="Arial" w:hAnsi="Arial" w:cs="Arial"/>
          <w:sz w:val="20"/>
          <w:szCs w:val="20"/>
        </w:rPr>
        <w:t xml:space="preserve">K-12 vector (e.g., conjugative plasmid). When a non-conjugative vector is used, the </w:t>
      </w:r>
      <w:r w:rsidRPr="00740EE5">
        <w:rPr>
          <w:rFonts w:ascii="Arial" w:hAnsi="Arial" w:cs="Arial"/>
          <w:i/>
          <w:iCs/>
          <w:sz w:val="20"/>
          <w:szCs w:val="20"/>
        </w:rPr>
        <w:t xml:space="preserve">Escherichia coli </w:t>
      </w:r>
      <w:r w:rsidRPr="00740EE5">
        <w:rPr>
          <w:rFonts w:ascii="Arial" w:hAnsi="Arial" w:cs="Arial"/>
          <w:sz w:val="20"/>
          <w:szCs w:val="20"/>
        </w:rPr>
        <w:t>K-12 host may contain conjugation-proficient plasmids either autonomous or integrated, or generalized transducing phages. For these exempt laboratory experiments, Biosafety Level (BL) 1 physical containment conditions are recommended. For large-scale fermentation experiments, the appropriate physical containment conditions need be no greater than those for the host organism unmodified by recombinant or synthetic nucleic acid molecule techniques; the Institutional Biosafety Committee can specify higher containment if deemed necessary.</w:t>
      </w:r>
    </w:p>
    <w:p w14:paraId="677CB221" w14:textId="77777777" w:rsidR="0064342E" w:rsidRPr="004469F0" w:rsidRDefault="0064342E" w:rsidP="0064342E">
      <w:pPr>
        <w:pStyle w:val="Default"/>
        <w:rPr>
          <w:sz w:val="20"/>
          <w:szCs w:val="20"/>
        </w:rPr>
      </w:pPr>
      <w:r w:rsidRPr="004469F0">
        <w:rPr>
          <w:b/>
          <w:bCs/>
          <w:sz w:val="20"/>
          <w:szCs w:val="20"/>
        </w:rPr>
        <w:t xml:space="preserve">Appendix C-II-A. Exceptions </w:t>
      </w:r>
    </w:p>
    <w:p w14:paraId="35CA7A19" w14:textId="77777777" w:rsidR="0064342E" w:rsidRPr="004469F0" w:rsidRDefault="0064342E" w:rsidP="0064342E">
      <w:pPr>
        <w:pStyle w:val="Default"/>
        <w:rPr>
          <w:sz w:val="20"/>
          <w:szCs w:val="20"/>
        </w:rPr>
      </w:pPr>
      <w:r w:rsidRPr="004469F0">
        <w:rPr>
          <w:sz w:val="20"/>
          <w:szCs w:val="20"/>
        </w:rPr>
        <w:t xml:space="preserve">The following categories are not exempt from the </w:t>
      </w:r>
      <w:r w:rsidRPr="004469F0">
        <w:rPr>
          <w:i/>
          <w:iCs/>
          <w:sz w:val="20"/>
          <w:szCs w:val="20"/>
        </w:rPr>
        <w:t>NIH Guidelines</w:t>
      </w:r>
      <w:r w:rsidRPr="004469F0">
        <w:rPr>
          <w:sz w:val="20"/>
          <w:szCs w:val="20"/>
        </w:rPr>
        <w:t>: (</w:t>
      </w:r>
      <w:proofErr w:type="spellStart"/>
      <w:r w:rsidRPr="004469F0">
        <w:rPr>
          <w:sz w:val="20"/>
          <w:szCs w:val="20"/>
        </w:rPr>
        <w:t>i</w:t>
      </w:r>
      <w:proofErr w:type="spellEnd"/>
      <w:r w:rsidRPr="004469F0">
        <w:rPr>
          <w:sz w:val="20"/>
          <w:szCs w:val="20"/>
        </w:rPr>
        <w:t xml:space="preserve">) experiments described in Section III-B which require NIH/OBA and Institutional Biosafety Committee approval before initiation, (ii) experiments involving DNA from Risk Groups 3, 4, or restricted organisms (see Appendix B, </w:t>
      </w:r>
      <w:r w:rsidRPr="004469F0">
        <w:rPr>
          <w:i/>
          <w:iCs/>
          <w:sz w:val="20"/>
          <w:szCs w:val="20"/>
        </w:rPr>
        <w:t xml:space="preserve">Classification of Human </w:t>
      </w:r>
    </w:p>
    <w:p w14:paraId="33BAF051" w14:textId="77777777" w:rsidR="0064342E" w:rsidRPr="004469F0" w:rsidRDefault="0064342E" w:rsidP="0064342E">
      <w:pPr>
        <w:pStyle w:val="Default"/>
        <w:rPr>
          <w:sz w:val="20"/>
          <w:szCs w:val="20"/>
        </w:rPr>
      </w:pPr>
      <w:r w:rsidRPr="004469F0">
        <w:rPr>
          <w:i/>
          <w:iCs/>
          <w:sz w:val="20"/>
          <w:szCs w:val="20"/>
        </w:rPr>
        <w:t>Etiologic Agents on the Basis of Hazard</w:t>
      </w:r>
      <w:r w:rsidRPr="004469F0">
        <w:rPr>
          <w:sz w:val="20"/>
          <w:szCs w:val="20"/>
        </w:rPr>
        <w:t xml:space="preserve">, and Sections V-G and V-L, </w:t>
      </w:r>
      <w:r w:rsidRPr="004469F0">
        <w:rPr>
          <w:i/>
          <w:iCs/>
          <w:sz w:val="20"/>
          <w:szCs w:val="20"/>
        </w:rPr>
        <w:t xml:space="preserve">Footnotes and References of Sections I </w:t>
      </w:r>
    </w:p>
    <w:p w14:paraId="25A22819" w14:textId="77777777" w:rsidR="0064342E" w:rsidRPr="004469F0" w:rsidRDefault="0064342E" w:rsidP="0064342E">
      <w:pPr>
        <w:pStyle w:val="Default"/>
        <w:rPr>
          <w:sz w:val="20"/>
          <w:szCs w:val="20"/>
        </w:rPr>
      </w:pPr>
      <w:r w:rsidRPr="004469F0">
        <w:rPr>
          <w:i/>
          <w:iCs/>
          <w:sz w:val="20"/>
          <w:szCs w:val="20"/>
        </w:rPr>
        <w:t>through IV</w:t>
      </w:r>
      <w:r w:rsidRPr="004469F0">
        <w:rPr>
          <w:sz w:val="20"/>
          <w:szCs w:val="20"/>
        </w:rPr>
        <w:t xml:space="preserve">) or cells known to be infected with these agents may be conducted under containment conditions specified in Section III-D-2 with prior Institutional Biosafety Committee review and approval, (iii) large-scale experiments (e.g., more than 10 liters of culture), and (iv) experiments involving the cloning of toxin molecule genes coding for the biosynthesis of molecules toxic for vertebrates (see Appendix F, </w:t>
      </w:r>
      <w:r w:rsidRPr="004469F0">
        <w:rPr>
          <w:i/>
          <w:iCs/>
          <w:sz w:val="20"/>
          <w:szCs w:val="20"/>
        </w:rPr>
        <w:t>Containment Conditions for Cloning of Genes Coding for the Biosynthesis of Molecules Toxic for Vertebrates</w:t>
      </w:r>
      <w:r w:rsidRPr="004469F0">
        <w:rPr>
          <w:sz w:val="20"/>
          <w:szCs w:val="20"/>
        </w:rPr>
        <w:t xml:space="preserve">). </w:t>
      </w:r>
    </w:p>
    <w:p w14:paraId="58E9044C" w14:textId="77777777" w:rsidR="0064342E" w:rsidRPr="004469F0" w:rsidRDefault="0064342E" w:rsidP="0064342E">
      <w:pPr>
        <w:pStyle w:val="Default"/>
        <w:rPr>
          <w:sz w:val="20"/>
          <w:szCs w:val="20"/>
        </w:rPr>
      </w:pPr>
      <w:r w:rsidRPr="004469F0">
        <w:rPr>
          <w:b/>
          <w:bCs/>
          <w:sz w:val="20"/>
          <w:szCs w:val="20"/>
        </w:rPr>
        <w:t xml:space="preserve">Appendix C-III. </w:t>
      </w:r>
      <w:r w:rsidRPr="004469F0">
        <w:rPr>
          <w:i/>
          <w:iCs/>
          <w:sz w:val="20"/>
          <w:szCs w:val="20"/>
        </w:rPr>
        <w:t xml:space="preserve">Saccharomyces </w:t>
      </w:r>
      <w:r w:rsidRPr="004469F0">
        <w:rPr>
          <w:b/>
          <w:bCs/>
          <w:sz w:val="20"/>
          <w:szCs w:val="20"/>
        </w:rPr>
        <w:t xml:space="preserve">Host-Vector Systems </w:t>
      </w:r>
    </w:p>
    <w:p w14:paraId="7E56C0CE" w14:textId="77777777" w:rsidR="0064342E" w:rsidRPr="004469F0" w:rsidRDefault="0064342E" w:rsidP="0064342E">
      <w:pPr>
        <w:pStyle w:val="Default"/>
        <w:rPr>
          <w:sz w:val="20"/>
          <w:szCs w:val="20"/>
        </w:rPr>
      </w:pPr>
      <w:r w:rsidRPr="004469F0">
        <w:rPr>
          <w:sz w:val="20"/>
          <w:szCs w:val="20"/>
        </w:rPr>
        <w:t xml:space="preserve">Experiments involving </w:t>
      </w:r>
      <w:r w:rsidRPr="004469F0">
        <w:rPr>
          <w:i/>
          <w:iCs/>
          <w:sz w:val="20"/>
          <w:szCs w:val="20"/>
        </w:rPr>
        <w:t xml:space="preserve">Saccharomyces cerevisiae </w:t>
      </w:r>
      <w:r w:rsidRPr="004469F0">
        <w:rPr>
          <w:sz w:val="20"/>
          <w:szCs w:val="20"/>
        </w:rPr>
        <w:t xml:space="preserve">and </w:t>
      </w:r>
      <w:r w:rsidRPr="004469F0">
        <w:rPr>
          <w:i/>
          <w:iCs/>
          <w:sz w:val="20"/>
          <w:szCs w:val="20"/>
        </w:rPr>
        <w:t xml:space="preserve">Saccharomyces </w:t>
      </w:r>
      <w:proofErr w:type="spellStart"/>
      <w:r w:rsidRPr="004469F0">
        <w:rPr>
          <w:i/>
          <w:iCs/>
          <w:sz w:val="20"/>
          <w:szCs w:val="20"/>
        </w:rPr>
        <w:t>uvarum</w:t>
      </w:r>
      <w:proofErr w:type="spellEnd"/>
      <w:r w:rsidRPr="004469F0">
        <w:rPr>
          <w:i/>
          <w:iCs/>
          <w:sz w:val="20"/>
          <w:szCs w:val="20"/>
        </w:rPr>
        <w:t xml:space="preserve"> </w:t>
      </w:r>
      <w:r w:rsidRPr="004469F0">
        <w:rPr>
          <w:sz w:val="20"/>
          <w:szCs w:val="20"/>
        </w:rPr>
        <w:t xml:space="preserve">host-vector systems, with the exception of experiments listed in Appendix C-III-A, are exempt from the </w:t>
      </w:r>
      <w:r w:rsidRPr="004469F0">
        <w:rPr>
          <w:i/>
          <w:iCs/>
          <w:sz w:val="20"/>
          <w:szCs w:val="20"/>
        </w:rPr>
        <w:t>NIH Guidelines</w:t>
      </w:r>
      <w:r w:rsidRPr="004469F0">
        <w:rPr>
          <w:sz w:val="20"/>
          <w:szCs w:val="20"/>
        </w:rPr>
        <w:t xml:space="preserve">. For these exempt experiments, BL1 physical containment is recommended. For large-scale fermentation experiments, the appropriate physical containment conditions need be no greater than those for the unmodified host organism; the Institutional Biosafety Committee can specify higher containment if deemed necessary. </w:t>
      </w:r>
    </w:p>
    <w:p w14:paraId="612F9FF0" w14:textId="77777777" w:rsidR="0064342E" w:rsidRPr="004469F0" w:rsidRDefault="0064342E" w:rsidP="0064342E">
      <w:pPr>
        <w:pStyle w:val="Default"/>
        <w:rPr>
          <w:sz w:val="20"/>
          <w:szCs w:val="20"/>
        </w:rPr>
      </w:pPr>
      <w:r w:rsidRPr="004469F0">
        <w:rPr>
          <w:b/>
          <w:bCs/>
          <w:sz w:val="20"/>
          <w:szCs w:val="20"/>
        </w:rPr>
        <w:t xml:space="preserve">Appendix C-III-A. Exceptions </w:t>
      </w:r>
    </w:p>
    <w:p w14:paraId="7B1792D3" w14:textId="77777777" w:rsidR="0064342E" w:rsidRPr="004469F0" w:rsidRDefault="0064342E" w:rsidP="0064342E">
      <w:pPr>
        <w:pStyle w:val="Default"/>
        <w:rPr>
          <w:sz w:val="20"/>
          <w:szCs w:val="20"/>
        </w:rPr>
      </w:pPr>
      <w:r w:rsidRPr="004469F0">
        <w:rPr>
          <w:sz w:val="20"/>
          <w:szCs w:val="20"/>
        </w:rPr>
        <w:t xml:space="preserve">The following categories are not exempt from the </w:t>
      </w:r>
      <w:r w:rsidRPr="004469F0">
        <w:rPr>
          <w:i/>
          <w:iCs/>
          <w:sz w:val="20"/>
          <w:szCs w:val="20"/>
        </w:rPr>
        <w:t>NIH Guidelines</w:t>
      </w:r>
      <w:r w:rsidRPr="004469F0">
        <w:rPr>
          <w:sz w:val="20"/>
          <w:szCs w:val="20"/>
        </w:rPr>
        <w:t>: (</w:t>
      </w:r>
      <w:proofErr w:type="spellStart"/>
      <w:r w:rsidRPr="004469F0">
        <w:rPr>
          <w:sz w:val="20"/>
          <w:szCs w:val="20"/>
        </w:rPr>
        <w:t>i</w:t>
      </w:r>
      <w:proofErr w:type="spellEnd"/>
      <w:r w:rsidRPr="004469F0">
        <w:rPr>
          <w:sz w:val="20"/>
          <w:szCs w:val="20"/>
        </w:rPr>
        <w:t xml:space="preserve">) experiments described in Section III-B which require NIH/OBA and Institutional Biosafety Committee approval before initiation, (ii) experiments involving DNA from Risk Groups 3, 4, or restricted organisms (see Appendix B, </w:t>
      </w:r>
      <w:r w:rsidRPr="004469F0">
        <w:rPr>
          <w:i/>
          <w:iCs/>
          <w:sz w:val="20"/>
          <w:szCs w:val="20"/>
        </w:rPr>
        <w:t>Classification of Human Etiologic Agents on the Basis of Hazard</w:t>
      </w:r>
      <w:r w:rsidRPr="004469F0">
        <w:rPr>
          <w:sz w:val="20"/>
          <w:szCs w:val="20"/>
        </w:rPr>
        <w:t xml:space="preserve">, and Sections V-G and V-L, </w:t>
      </w:r>
      <w:r w:rsidRPr="004469F0">
        <w:rPr>
          <w:i/>
          <w:iCs/>
          <w:sz w:val="20"/>
          <w:szCs w:val="20"/>
        </w:rPr>
        <w:t>Footnotes and References of Sections I through IV</w:t>
      </w:r>
      <w:r w:rsidRPr="004469F0">
        <w:rPr>
          <w:sz w:val="20"/>
          <w:szCs w:val="20"/>
        </w:rPr>
        <w:t xml:space="preserve">) or cells known to be infected with these agents may be conducted under containment conditions specified in Section III-D-2 with prior Institutional Biosafety Committee review and approval, (iii) large-scale experiments (e.g., more than 10 liters of culture), and (iv) experiments involving the deliberate cloning of genes coding for the biosynthesis of molecules toxic for vertebrates (see Appendix F, </w:t>
      </w:r>
      <w:r w:rsidRPr="004469F0">
        <w:rPr>
          <w:i/>
          <w:iCs/>
          <w:sz w:val="20"/>
          <w:szCs w:val="20"/>
        </w:rPr>
        <w:t>Containment Conditions for Cloning of Genes Coding for the Biosynthesis of Molecules Toxic for Vertebrates</w:t>
      </w:r>
      <w:r w:rsidRPr="004469F0">
        <w:rPr>
          <w:sz w:val="20"/>
          <w:szCs w:val="20"/>
        </w:rPr>
        <w:t xml:space="preserve">). </w:t>
      </w:r>
    </w:p>
    <w:p w14:paraId="5268A449" w14:textId="77777777" w:rsidR="0064342E" w:rsidRPr="004469F0" w:rsidRDefault="0064342E" w:rsidP="0064342E">
      <w:pPr>
        <w:pStyle w:val="Default"/>
        <w:rPr>
          <w:sz w:val="20"/>
          <w:szCs w:val="20"/>
        </w:rPr>
      </w:pPr>
      <w:r w:rsidRPr="004469F0">
        <w:rPr>
          <w:b/>
          <w:bCs/>
          <w:sz w:val="20"/>
          <w:szCs w:val="20"/>
        </w:rPr>
        <w:t xml:space="preserve">Appendix C-IV. </w:t>
      </w:r>
      <w:proofErr w:type="spellStart"/>
      <w:r w:rsidRPr="004469F0">
        <w:rPr>
          <w:i/>
          <w:iCs/>
          <w:sz w:val="20"/>
          <w:szCs w:val="20"/>
        </w:rPr>
        <w:t>Kluyveromyces</w:t>
      </w:r>
      <w:proofErr w:type="spellEnd"/>
      <w:r w:rsidRPr="004469F0">
        <w:rPr>
          <w:i/>
          <w:iCs/>
          <w:sz w:val="20"/>
          <w:szCs w:val="20"/>
        </w:rPr>
        <w:t xml:space="preserve"> </w:t>
      </w:r>
      <w:r w:rsidRPr="004469F0">
        <w:rPr>
          <w:b/>
          <w:bCs/>
          <w:sz w:val="20"/>
          <w:szCs w:val="20"/>
        </w:rPr>
        <w:t xml:space="preserve">Host-Vector Systems </w:t>
      </w:r>
    </w:p>
    <w:p w14:paraId="13735346" w14:textId="77777777" w:rsidR="0064342E" w:rsidRPr="004469F0" w:rsidRDefault="0064342E" w:rsidP="0064342E">
      <w:pPr>
        <w:pStyle w:val="Default"/>
        <w:rPr>
          <w:sz w:val="20"/>
          <w:szCs w:val="20"/>
        </w:rPr>
      </w:pPr>
      <w:r w:rsidRPr="004469F0">
        <w:rPr>
          <w:sz w:val="20"/>
          <w:szCs w:val="20"/>
        </w:rPr>
        <w:t xml:space="preserve">Experiments involving </w:t>
      </w:r>
      <w:proofErr w:type="spellStart"/>
      <w:r w:rsidRPr="004469F0">
        <w:rPr>
          <w:i/>
          <w:iCs/>
          <w:sz w:val="20"/>
          <w:szCs w:val="20"/>
        </w:rPr>
        <w:t>Kluyveromyces</w:t>
      </w:r>
      <w:proofErr w:type="spellEnd"/>
      <w:r w:rsidRPr="004469F0">
        <w:rPr>
          <w:i/>
          <w:iCs/>
          <w:sz w:val="20"/>
          <w:szCs w:val="20"/>
        </w:rPr>
        <w:t xml:space="preserve"> </w:t>
      </w:r>
      <w:proofErr w:type="spellStart"/>
      <w:r w:rsidRPr="004469F0">
        <w:rPr>
          <w:i/>
          <w:iCs/>
          <w:sz w:val="20"/>
          <w:szCs w:val="20"/>
        </w:rPr>
        <w:t>lactis</w:t>
      </w:r>
      <w:proofErr w:type="spellEnd"/>
      <w:r w:rsidRPr="004469F0">
        <w:rPr>
          <w:i/>
          <w:iCs/>
          <w:sz w:val="20"/>
          <w:szCs w:val="20"/>
        </w:rPr>
        <w:t xml:space="preserve"> </w:t>
      </w:r>
      <w:r w:rsidRPr="004469F0">
        <w:rPr>
          <w:sz w:val="20"/>
          <w:szCs w:val="20"/>
        </w:rPr>
        <w:t xml:space="preserve">host-vector systems, with the exception of experiments listed in Appendix C-IV-A, are exempt from the </w:t>
      </w:r>
      <w:r w:rsidRPr="004469F0">
        <w:rPr>
          <w:i/>
          <w:iCs/>
          <w:sz w:val="20"/>
          <w:szCs w:val="20"/>
        </w:rPr>
        <w:t xml:space="preserve">NIH Guidelines </w:t>
      </w:r>
      <w:r w:rsidRPr="004469F0">
        <w:rPr>
          <w:sz w:val="20"/>
          <w:szCs w:val="20"/>
        </w:rPr>
        <w:t xml:space="preserve">provided laboratory-adapted strains are used (i.e. strains that have been adapted to growth under optimal or defined laboratory conditions). For these exempt experiments, BL1 physical containment is recommended. For large-scale fermentation experiments, the appropriate physical containment conditions need be no greater than those for the unmodified host organism; the Institutional Biosafety Committee may specify higher containment if deemed necessary. </w:t>
      </w:r>
    </w:p>
    <w:p w14:paraId="4A4E543C" w14:textId="77777777" w:rsidR="0064342E" w:rsidRPr="004469F0" w:rsidRDefault="0064342E" w:rsidP="0064342E">
      <w:pPr>
        <w:pStyle w:val="Default"/>
        <w:rPr>
          <w:sz w:val="20"/>
          <w:szCs w:val="20"/>
        </w:rPr>
      </w:pPr>
      <w:r w:rsidRPr="004469F0">
        <w:rPr>
          <w:b/>
          <w:bCs/>
          <w:sz w:val="20"/>
          <w:szCs w:val="20"/>
        </w:rPr>
        <w:t xml:space="preserve">Appendix C-IV-A Exceptions </w:t>
      </w:r>
    </w:p>
    <w:p w14:paraId="3A02574A" w14:textId="77777777" w:rsidR="0064342E" w:rsidRPr="004469F0" w:rsidRDefault="0064342E" w:rsidP="0064342E">
      <w:pPr>
        <w:autoSpaceDE w:val="0"/>
        <w:autoSpaceDN w:val="0"/>
        <w:adjustRightInd w:val="0"/>
        <w:spacing w:after="0" w:line="240" w:lineRule="auto"/>
        <w:rPr>
          <w:rFonts w:ascii="Arial" w:hAnsi="Arial" w:cs="Arial"/>
          <w:color w:val="000000"/>
          <w:sz w:val="20"/>
          <w:szCs w:val="20"/>
        </w:rPr>
      </w:pPr>
      <w:r w:rsidRPr="00740EE5">
        <w:rPr>
          <w:rFonts w:ascii="Arial" w:hAnsi="Arial" w:cs="Arial"/>
          <w:sz w:val="20"/>
          <w:szCs w:val="20"/>
        </w:rPr>
        <w:t xml:space="preserve">The following categories are not exempt from the </w:t>
      </w:r>
      <w:r w:rsidRPr="00740EE5">
        <w:rPr>
          <w:rFonts w:ascii="Arial" w:hAnsi="Arial" w:cs="Arial"/>
          <w:i/>
          <w:iCs/>
          <w:sz w:val="20"/>
          <w:szCs w:val="20"/>
        </w:rPr>
        <w:t>NIH Guidelines</w:t>
      </w:r>
      <w:r w:rsidRPr="00740EE5">
        <w:rPr>
          <w:rFonts w:ascii="Arial" w:hAnsi="Arial" w:cs="Arial"/>
          <w:sz w:val="20"/>
          <w:szCs w:val="20"/>
        </w:rPr>
        <w:t>: (</w:t>
      </w:r>
      <w:proofErr w:type="spellStart"/>
      <w:r w:rsidRPr="00740EE5">
        <w:rPr>
          <w:rFonts w:ascii="Arial" w:hAnsi="Arial" w:cs="Arial"/>
          <w:sz w:val="20"/>
          <w:szCs w:val="20"/>
        </w:rPr>
        <w:t>i</w:t>
      </w:r>
      <w:proofErr w:type="spellEnd"/>
      <w:r w:rsidRPr="00740EE5">
        <w:rPr>
          <w:rFonts w:ascii="Arial" w:hAnsi="Arial" w:cs="Arial"/>
          <w:sz w:val="20"/>
          <w:szCs w:val="20"/>
        </w:rPr>
        <w:t xml:space="preserve">) experiments described in Section III-B, which require NIH/OBA and Institutional Biosafety Committee approval before initiation; (ii) experiments involving DNA from Risk Groups 3, 4, or restricted organisms (see Appendix B, </w:t>
      </w:r>
      <w:r w:rsidRPr="00740EE5">
        <w:rPr>
          <w:rFonts w:ascii="Arial" w:hAnsi="Arial" w:cs="Arial"/>
          <w:i/>
          <w:iCs/>
          <w:sz w:val="20"/>
          <w:szCs w:val="20"/>
        </w:rPr>
        <w:t>Classification of Human Etiologic Agents on the Basis of Hazard</w:t>
      </w:r>
      <w:r w:rsidRPr="00740EE5">
        <w:rPr>
          <w:rFonts w:ascii="Arial" w:hAnsi="Arial" w:cs="Arial"/>
          <w:sz w:val="20"/>
          <w:szCs w:val="20"/>
        </w:rPr>
        <w:t xml:space="preserve">, and Sections V-G and V-L, </w:t>
      </w:r>
      <w:r w:rsidRPr="00740EE5">
        <w:rPr>
          <w:rFonts w:ascii="Arial" w:hAnsi="Arial" w:cs="Arial"/>
          <w:i/>
          <w:iCs/>
          <w:sz w:val="20"/>
          <w:szCs w:val="20"/>
        </w:rPr>
        <w:t>Footnotes and References of Sections I through IV</w:t>
      </w:r>
      <w:r w:rsidRPr="00740EE5">
        <w:rPr>
          <w:rFonts w:ascii="Arial" w:hAnsi="Arial" w:cs="Arial"/>
          <w:sz w:val="20"/>
          <w:szCs w:val="20"/>
        </w:rPr>
        <w:t>) or cells known to be infected with these agents may be conducted under containment conditions specified in Section III-D-2 with prior Institutional Biosafety Committee review and approval; (iii) large-scale experiments (e.g., more than 10 liters of culture), and (v) experiments involving the deliberate cloning of genes</w:t>
      </w:r>
      <w:r w:rsidRPr="004469F0">
        <w:rPr>
          <w:rFonts w:ascii="Arial" w:hAnsi="Arial" w:cs="Arial"/>
          <w:color w:val="000000"/>
          <w:sz w:val="20"/>
          <w:szCs w:val="20"/>
        </w:rPr>
        <w:t xml:space="preserve"> coding for the biosynthesis of molecules toxic for vertebrates (see</w:t>
      </w:r>
    </w:p>
    <w:p w14:paraId="06DB9564" w14:textId="77777777" w:rsidR="0064342E" w:rsidRPr="004469F0" w:rsidRDefault="0064342E" w:rsidP="0064342E">
      <w:pPr>
        <w:autoSpaceDE w:val="0"/>
        <w:autoSpaceDN w:val="0"/>
        <w:adjustRightInd w:val="0"/>
        <w:spacing w:after="0" w:line="240" w:lineRule="auto"/>
        <w:rPr>
          <w:rFonts w:ascii="Arial" w:hAnsi="Arial" w:cs="Arial"/>
          <w:color w:val="000000"/>
          <w:sz w:val="20"/>
          <w:szCs w:val="20"/>
        </w:rPr>
      </w:pPr>
      <w:r w:rsidRPr="004469F0">
        <w:rPr>
          <w:rFonts w:ascii="Arial" w:hAnsi="Arial" w:cs="Arial"/>
          <w:color w:val="0000FF"/>
          <w:sz w:val="20"/>
          <w:szCs w:val="20"/>
        </w:rPr>
        <w:t>Appendix F</w:t>
      </w:r>
      <w:r w:rsidRPr="004469F0">
        <w:rPr>
          <w:rFonts w:ascii="Arial" w:hAnsi="Arial" w:cs="Arial"/>
          <w:color w:val="000000"/>
          <w:sz w:val="20"/>
          <w:szCs w:val="20"/>
        </w:rPr>
        <w:t xml:space="preserve">, </w:t>
      </w:r>
      <w:r w:rsidRPr="004469F0">
        <w:rPr>
          <w:rFonts w:ascii="Arial" w:hAnsi="Arial" w:cs="Arial"/>
          <w:i/>
          <w:iCs/>
          <w:color w:val="000000"/>
          <w:sz w:val="20"/>
          <w:szCs w:val="20"/>
        </w:rPr>
        <w:t>Containment Conditions for Cloning of Genes Coding for the Biosynthesis of Molecules Toxic for Vertebrates</w:t>
      </w:r>
      <w:r w:rsidRPr="004469F0">
        <w:rPr>
          <w:rFonts w:ascii="Arial" w:hAnsi="Arial" w:cs="Arial"/>
          <w:color w:val="000000"/>
          <w:sz w:val="20"/>
          <w:szCs w:val="20"/>
        </w:rPr>
        <w:t>).</w:t>
      </w:r>
    </w:p>
    <w:p w14:paraId="30FED932" w14:textId="77777777" w:rsidR="0064342E" w:rsidRPr="004469F0" w:rsidRDefault="0064342E" w:rsidP="0064342E">
      <w:pPr>
        <w:autoSpaceDE w:val="0"/>
        <w:autoSpaceDN w:val="0"/>
        <w:adjustRightInd w:val="0"/>
        <w:spacing w:after="0" w:line="240" w:lineRule="auto"/>
        <w:rPr>
          <w:rFonts w:ascii="Arial" w:hAnsi="Arial" w:cs="Arial"/>
          <w:b/>
          <w:bCs/>
          <w:color w:val="000000"/>
          <w:sz w:val="20"/>
          <w:szCs w:val="20"/>
        </w:rPr>
      </w:pPr>
      <w:r w:rsidRPr="004469F0">
        <w:rPr>
          <w:rFonts w:ascii="Arial" w:hAnsi="Arial" w:cs="Arial"/>
          <w:b/>
          <w:bCs/>
          <w:color w:val="000000"/>
          <w:sz w:val="20"/>
          <w:szCs w:val="20"/>
        </w:rPr>
        <w:t xml:space="preserve">Appendix C-V. </w:t>
      </w:r>
      <w:r w:rsidRPr="004469F0">
        <w:rPr>
          <w:rFonts w:ascii="Arial" w:hAnsi="Arial" w:cs="Arial"/>
          <w:i/>
          <w:iCs/>
          <w:color w:val="000000"/>
          <w:sz w:val="20"/>
          <w:szCs w:val="20"/>
        </w:rPr>
        <w:t xml:space="preserve">Bacillus subtilis </w:t>
      </w:r>
      <w:r w:rsidRPr="004469F0">
        <w:rPr>
          <w:rFonts w:ascii="Arial" w:hAnsi="Arial" w:cs="Arial"/>
          <w:b/>
          <w:bCs/>
          <w:color w:val="000000"/>
          <w:sz w:val="20"/>
          <w:szCs w:val="20"/>
        </w:rPr>
        <w:t xml:space="preserve">or </w:t>
      </w:r>
      <w:r w:rsidRPr="004469F0">
        <w:rPr>
          <w:rFonts w:ascii="Arial" w:hAnsi="Arial" w:cs="Arial"/>
          <w:i/>
          <w:iCs/>
          <w:color w:val="000000"/>
          <w:sz w:val="20"/>
          <w:szCs w:val="20"/>
        </w:rPr>
        <w:t xml:space="preserve">Bacillus </w:t>
      </w:r>
      <w:proofErr w:type="spellStart"/>
      <w:r w:rsidRPr="004469F0">
        <w:rPr>
          <w:rFonts w:ascii="Arial" w:hAnsi="Arial" w:cs="Arial"/>
          <w:i/>
          <w:iCs/>
          <w:color w:val="000000"/>
          <w:sz w:val="20"/>
          <w:szCs w:val="20"/>
        </w:rPr>
        <w:t>licheniformis</w:t>
      </w:r>
      <w:proofErr w:type="spellEnd"/>
      <w:r w:rsidRPr="004469F0">
        <w:rPr>
          <w:rFonts w:ascii="Arial" w:hAnsi="Arial" w:cs="Arial"/>
          <w:i/>
          <w:iCs/>
          <w:color w:val="000000"/>
          <w:sz w:val="20"/>
          <w:szCs w:val="20"/>
        </w:rPr>
        <w:t xml:space="preserve"> </w:t>
      </w:r>
      <w:r w:rsidRPr="004469F0">
        <w:rPr>
          <w:rFonts w:ascii="Arial" w:hAnsi="Arial" w:cs="Arial"/>
          <w:b/>
          <w:bCs/>
          <w:color w:val="000000"/>
          <w:sz w:val="20"/>
          <w:szCs w:val="20"/>
        </w:rPr>
        <w:t>Host-Vector Systems</w:t>
      </w:r>
    </w:p>
    <w:p w14:paraId="3BDF3206" w14:textId="77777777" w:rsidR="0064342E" w:rsidRPr="004469F0" w:rsidRDefault="0064342E" w:rsidP="0064342E">
      <w:pPr>
        <w:autoSpaceDE w:val="0"/>
        <w:autoSpaceDN w:val="0"/>
        <w:adjustRightInd w:val="0"/>
        <w:spacing w:after="0" w:line="240" w:lineRule="auto"/>
        <w:rPr>
          <w:rFonts w:ascii="Arial" w:hAnsi="Arial" w:cs="Arial"/>
          <w:color w:val="000000"/>
          <w:sz w:val="20"/>
          <w:szCs w:val="20"/>
        </w:rPr>
      </w:pPr>
      <w:r w:rsidRPr="004469F0">
        <w:rPr>
          <w:rFonts w:ascii="Arial" w:hAnsi="Arial" w:cs="Arial"/>
          <w:color w:val="000000"/>
          <w:sz w:val="20"/>
          <w:szCs w:val="20"/>
        </w:rPr>
        <w:t xml:space="preserve">Any </w:t>
      </w:r>
      <w:proofErr w:type="spellStart"/>
      <w:r w:rsidRPr="004469F0">
        <w:rPr>
          <w:rFonts w:ascii="Arial" w:hAnsi="Arial" w:cs="Arial"/>
          <w:color w:val="000000"/>
          <w:sz w:val="20"/>
          <w:szCs w:val="20"/>
        </w:rPr>
        <w:t>asporogenic</w:t>
      </w:r>
      <w:proofErr w:type="spellEnd"/>
      <w:r w:rsidRPr="004469F0">
        <w:rPr>
          <w:rFonts w:ascii="Arial" w:hAnsi="Arial" w:cs="Arial"/>
          <w:color w:val="000000"/>
          <w:sz w:val="20"/>
          <w:szCs w:val="20"/>
        </w:rPr>
        <w:t xml:space="preserve"> </w:t>
      </w:r>
      <w:r w:rsidRPr="004469F0">
        <w:rPr>
          <w:rFonts w:ascii="Arial" w:hAnsi="Arial" w:cs="Arial"/>
          <w:i/>
          <w:iCs/>
          <w:color w:val="000000"/>
          <w:sz w:val="20"/>
          <w:szCs w:val="20"/>
        </w:rPr>
        <w:t xml:space="preserve">Bacillus subtilis </w:t>
      </w:r>
      <w:r w:rsidRPr="004469F0">
        <w:rPr>
          <w:rFonts w:ascii="Arial" w:hAnsi="Arial" w:cs="Arial"/>
          <w:color w:val="000000"/>
          <w:sz w:val="20"/>
          <w:szCs w:val="20"/>
        </w:rPr>
        <w:t xml:space="preserve">or </w:t>
      </w:r>
      <w:proofErr w:type="spellStart"/>
      <w:r w:rsidRPr="004469F0">
        <w:rPr>
          <w:rFonts w:ascii="Arial" w:hAnsi="Arial" w:cs="Arial"/>
          <w:color w:val="000000"/>
          <w:sz w:val="20"/>
          <w:szCs w:val="20"/>
        </w:rPr>
        <w:t>asporogenic</w:t>
      </w:r>
      <w:proofErr w:type="spellEnd"/>
      <w:r w:rsidRPr="004469F0">
        <w:rPr>
          <w:rFonts w:ascii="Arial" w:hAnsi="Arial" w:cs="Arial"/>
          <w:color w:val="000000"/>
          <w:sz w:val="20"/>
          <w:szCs w:val="20"/>
        </w:rPr>
        <w:t xml:space="preserve"> </w:t>
      </w:r>
      <w:r w:rsidRPr="004469F0">
        <w:rPr>
          <w:rFonts w:ascii="Arial" w:hAnsi="Arial" w:cs="Arial"/>
          <w:i/>
          <w:iCs/>
          <w:color w:val="000000"/>
          <w:sz w:val="20"/>
          <w:szCs w:val="20"/>
        </w:rPr>
        <w:t xml:space="preserve">Bacillus </w:t>
      </w:r>
      <w:proofErr w:type="spellStart"/>
      <w:r w:rsidRPr="004469F0">
        <w:rPr>
          <w:rFonts w:ascii="Arial" w:hAnsi="Arial" w:cs="Arial"/>
          <w:i/>
          <w:iCs/>
          <w:color w:val="000000"/>
          <w:sz w:val="20"/>
          <w:szCs w:val="20"/>
        </w:rPr>
        <w:t>licheniformis</w:t>
      </w:r>
      <w:proofErr w:type="spellEnd"/>
      <w:r w:rsidRPr="004469F0">
        <w:rPr>
          <w:rFonts w:ascii="Arial" w:hAnsi="Arial" w:cs="Arial"/>
          <w:i/>
          <w:iCs/>
          <w:color w:val="000000"/>
          <w:sz w:val="20"/>
          <w:szCs w:val="20"/>
        </w:rPr>
        <w:t xml:space="preserve"> </w:t>
      </w:r>
      <w:r w:rsidRPr="004469F0">
        <w:rPr>
          <w:rFonts w:ascii="Arial" w:hAnsi="Arial" w:cs="Arial"/>
          <w:color w:val="000000"/>
          <w:sz w:val="20"/>
          <w:szCs w:val="20"/>
        </w:rPr>
        <w:t>strain which does not revert to a spore-former with a frequency greater than 10</w:t>
      </w:r>
      <w:r w:rsidRPr="00740EE5">
        <w:rPr>
          <w:rFonts w:ascii="Arial" w:hAnsi="Arial" w:cs="Arial"/>
          <w:color w:val="000000"/>
          <w:sz w:val="20"/>
          <w:szCs w:val="20"/>
        </w:rPr>
        <w:t xml:space="preserve">-7 </w:t>
      </w:r>
      <w:r w:rsidRPr="004469F0">
        <w:rPr>
          <w:rFonts w:ascii="Arial" w:hAnsi="Arial" w:cs="Arial"/>
          <w:color w:val="000000"/>
          <w:sz w:val="20"/>
          <w:szCs w:val="20"/>
        </w:rPr>
        <w:t xml:space="preserve">may be used for cloning DNA with the exception of those experiments listed in Appendix C-V-A, </w:t>
      </w:r>
      <w:r w:rsidRPr="004469F0">
        <w:rPr>
          <w:rFonts w:ascii="Arial" w:hAnsi="Arial" w:cs="Arial"/>
          <w:i/>
          <w:iCs/>
          <w:color w:val="000000"/>
          <w:sz w:val="20"/>
          <w:szCs w:val="20"/>
        </w:rPr>
        <w:t>Exceptions</w:t>
      </w:r>
      <w:r w:rsidRPr="004469F0">
        <w:rPr>
          <w:rFonts w:ascii="Arial" w:hAnsi="Arial" w:cs="Arial"/>
          <w:color w:val="000000"/>
          <w:sz w:val="20"/>
          <w:szCs w:val="20"/>
        </w:rPr>
        <w:t>. For these exempt laboratory experiments, BL1 physical containment conditions are recommended. For large-scale fermentation experiments, the appropriate physical containment conditions need be no greater than those for the unmodified host organism; the Institutional Biosafety Committee can specify higher containment if it deems necessary.</w:t>
      </w:r>
    </w:p>
    <w:p w14:paraId="7C8EE85E" w14:textId="77777777" w:rsidR="0064342E" w:rsidRPr="004469F0" w:rsidRDefault="0064342E" w:rsidP="0064342E">
      <w:pPr>
        <w:autoSpaceDE w:val="0"/>
        <w:autoSpaceDN w:val="0"/>
        <w:adjustRightInd w:val="0"/>
        <w:spacing w:after="0" w:line="240" w:lineRule="auto"/>
        <w:rPr>
          <w:rFonts w:ascii="Arial" w:hAnsi="Arial" w:cs="Arial"/>
          <w:b/>
          <w:bCs/>
          <w:color w:val="000000"/>
          <w:sz w:val="20"/>
          <w:szCs w:val="20"/>
        </w:rPr>
      </w:pPr>
      <w:r w:rsidRPr="004469F0">
        <w:rPr>
          <w:rFonts w:ascii="Arial" w:hAnsi="Arial" w:cs="Arial"/>
          <w:b/>
          <w:bCs/>
          <w:color w:val="000000"/>
          <w:sz w:val="20"/>
          <w:szCs w:val="20"/>
        </w:rPr>
        <w:t>Appendix C-V-A. Exceptions</w:t>
      </w:r>
    </w:p>
    <w:p w14:paraId="11755656" w14:textId="77777777" w:rsidR="0064342E" w:rsidRPr="00740EE5" w:rsidRDefault="0064342E" w:rsidP="0064342E">
      <w:pPr>
        <w:rPr>
          <w:rFonts w:ascii="Arial" w:hAnsi="Arial" w:cs="Arial"/>
          <w:sz w:val="20"/>
          <w:szCs w:val="20"/>
        </w:rPr>
      </w:pPr>
      <w:r w:rsidRPr="004469F0">
        <w:rPr>
          <w:rFonts w:ascii="Arial" w:hAnsi="Arial" w:cs="Arial"/>
          <w:color w:val="000000"/>
          <w:sz w:val="20"/>
          <w:szCs w:val="20"/>
        </w:rPr>
        <w:t xml:space="preserve">The following categories are not exempt from the </w:t>
      </w:r>
      <w:r w:rsidRPr="004469F0">
        <w:rPr>
          <w:rFonts w:ascii="Arial" w:hAnsi="Arial" w:cs="Arial"/>
          <w:i/>
          <w:iCs/>
          <w:color w:val="000000"/>
          <w:sz w:val="20"/>
          <w:szCs w:val="20"/>
        </w:rPr>
        <w:t>NIH Guidelines</w:t>
      </w:r>
      <w:r w:rsidRPr="004469F0">
        <w:rPr>
          <w:rFonts w:ascii="Arial" w:hAnsi="Arial" w:cs="Arial"/>
          <w:color w:val="000000"/>
          <w:sz w:val="20"/>
          <w:szCs w:val="20"/>
        </w:rPr>
        <w:t>: (</w:t>
      </w:r>
      <w:proofErr w:type="spellStart"/>
      <w:r w:rsidRPr="004469F0">
        <w:rPr>
          <w:rFonts w:ascii="Arial" w:hAnsi="Arial" w:cs="Arial"/>
          <w:color w:val="000000"/>
          <w:sz w:val="20"/>
          <w:szCs w:val="20"/>
        </w:rPr>
        <w:t>i</w:t>
      </w:r>
      <w:proofErr w:type="spellEnd"/>
      <w:r w:rsidRPr="004469F0">
        <w:rPr>
          <w:rFonts w:ascii="Arial" w:hAnsi="Arial" w:cs="Arial"/>
          <w:color w:val="000000"/>
          <w:sz w:val="20"/>
          <w:szCs w:val="20"/>
        </w:rPr>
        <w:t xml:space="preserve">) experiments described in </w:t>
      </w:r>
      <w:r w:rsidRPr="004469F0">
        <w:rPr>
          <w:rFonts w:ascii="Arial" w:hAnsi="Arial" w:cs="Arial"/>
          <w:color w:val="0000FF"/>
          <w:sz w:val="20"/>
          <w:szCs w:val="20"/>
        </w:rPr>
        <w:t xml:space="preserve">Section III-B </w:t>
      </w:r>
      <w:r w:rsidRPr="004469F0">
        <w:rPr>
          <w:rFonts w:ascii="Arial" w:hAnsi="Arial" w:cs="Arial"/>
          <w:color w:val="000000"/>
          <w:sz w:val="20"/>
          <w:szCs w:val="20"/>
        </w:rPr>
        <w:t xml:space="preserve">which require NIH/OBA and Institutional Biosafety Committee approval before initiation, (ii) experiments involving DNA from Risk Groups 3, 4, or restricted organisms (see </w:t>
      </w:r>
      <w:r w:rsidRPr="004469F0">
        <w:rPr>
          <w:rFonts w:ascii="Arial" w:hAnsi="Arial" w:cs="Arial"/>
          <w:color w:val="0000FF"/>
          <w:sz w:val="20"/>
          <w:szCs w:val="20"/>
        </w:rPr>
        <w:t>Appendix B</w:t>
      </w:r>
      <w:r w:rsidRPr="004469F0">
        <w:rPr>
          <w:rFonts w:ascii="Arial" w:hAnsi="Arial" w:cs="Arial"/>
          <w:color w:val="000000"/>
          <w:sz w:val="20"/>
          <w:szCs w:val="20"/>
        </w:rPr>
        <w:t xml:space="preserve">, </w:t>
      </w:r>
      <w:r w:rsidRPr="004469F0">
        <w:rPr>
          <w:rFonts w:ascii="Arial" w:hAnsi="Arial" w:cs="Arial"/>
          <w:i/>
          <w:iCs/>
          <w:color w:val="000000"/>
          <w:sz w:val="20"/>
          <w:szCs w:val="20"/>
        </w:rPr>
        <w:t>Classification of Human Etiologic Agents on the Basis of Hazard</w:t>
      </w:r>
      <w:r w:rsidRPr="004469F0">
        <w:rPr>
          <w:rFonts w:ascii="Arial" w:hAnsi="Arial" w:cs="Arial"/>
          <w:color w:val="000000"/>
          <w:sz w:val="20"/>
          <w:szCs w:val="20"/>
        </w:rPr>
        <w:t xml:space="preserve">, and </w:t>
      </w:r>
      <w:r w:rsidRPr="004469F0">
        <w:rPr>
          <w:rFonts w:ascii="Arial" w:hAnsi="Arial" w:cs="Arial"/>
          <w:color w:val="0000FF"/>
          <w:sz w:val="20"/>
          <w:szCs w:val="20"/>
        </w:rPr>
        <w:t>Sections V-G and V-L</w:t>
      </w:r>
      <w:r w:rsidRPr="004469F0">
        <w:rPr>
          <w:rFonts w:ascii="Arial" w:hAnsi="Arial" w:cs="Arial"/>
          <w:color w:val="000000"/>
          <w:sz w:val="20"/>
          <w:szCs w:val="20"/>
        </w:rPr>
        <w:t xml:space="preserve">, </w:t>
      </w:r>
      <w:r w:rsidRPr="004469F0">
        <w:rPr>
          <w:rFonts w:ascii="Arial" w:hAnsi="Arial" w:cs="Arial"/>
          <w:i/>
          <w:iCs/>
          <w:color w:val="000000"/>
          <w:sz w:val="20"/>
          <w:szCs w:val="20"/>
        </w:rPr>
        <w:t>Footnotes and References of Sections I through IV</w:t>
      </w:r>
      <w:r w:rsidRPr="004469F0">
        <w:rPr>
          <w:rFonts w:ascii="Arial" w:hAnsi="Arial" w:cs="Arial"/>
          <w:color w:val="000000"/>
          <w:sz w:val="20"/>
          <w:szCs w:val="20"/>
        </w:rPr>
        <w:t xml:space="preserve">) or cells known to be infected with these agents may be conducted under containment conditions specified in </w:t>
      </w:r>
      <w:r w:rsidRPr="004469F0">
        <w:rPr>
          <w:rFonts w:ascii="Arial" w:hAnsi="Arial" w:cs="Arial"/>
          <w:color w:val="0000FF"/>
          <w:sz w:val="20"/>
          <w:szCs w:val="20"/>
        </w:rPr>
        <w:t xml:space="preserve">Section III-D-2 </w:t>
      </w:r>
      <w:r w:rsidRPr="004469F0">
        <w:rPr>
          <w:rFonts w:ascii="Arial" w:hAnsi="Arial" w:cs="Arial"/>
          <w:color w:val="000000"/>
          <w:sz w:val="20"/>
          <w:szCs w:val="20"/>
        </w:rPr>
        <w:t xml:space="preserve">with prior Institutional Biosafety Committee review and approval, (iii) large-scale experiments (e.g., more than 10 liters of culture), and (iv) experiments involving the deliberate cloning of genes coding for the biosynthesis of molecules toxic for vertebrates (see </w:t>
      </w:r>
      <w:r w:rsidRPr="004469F0">
        <w:rPr>
          <w:rFonts w:ascii="Arial" w:hAnsi="Arial" w:cs="Arial"/>
          <w:color w:val="0000FF"/>
          <w:sz w:val="20"/>
          <w:szCs w:val="20"/>
        </w:rPr>
        <w:t>Appendix F</w:t>
      </w:r>
      <w:r w:rsidRPr="004469F0">
        <w:rPr>
          <w:rFonts w:ascii="Arial" w:hAnsi="Arial" w:cs="Arial"/>
          <w:color w:val="000000"/>
          <w:sz w:val="20"/>
          <w:szCs w:val="20"/>
        </w:rPr>
        <w:t xml:space="preserve">, </w:t>
      </w:r>
      <w:r w:rsidRPr="004469F0">
        <w:rPr>
          <w:rFonts w:ascii="Arial" w:hAnsi="Arial" w:cs="Arial"/>
          <w:i/>
          <w:iCs/>
          <w:color w:val="000000"/>
          <w:sz w:val="20"/>
          <w:szCs w:val="20"/>
        </w:rPr>
        <w:t>Containment Conditions for Cloning of Genes Coding for the Biosynthesis of Molecules Toxic for Vertebrates</w:t>
      </w:r>
      <w:r w:rsidRPr="004469F0">
        <w:rPr>
          <w:rFonts w:ascii="Arial" w:hAnsi="Arial" w:cs="Arial"/>
          <w:color w:val="000000"/>
          <w:sz w:val="20"/>
          <w:szCs w:val="20"/>
        </w:rPr>
        <w:t>).</w:t>
      </w:r>
    </w:p>
    <w:sectPr w:rsidR="0064342E" w:rsidRPr="00740EE5" w:rsidSect="000E3B5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8C878" w14:textId="77777777" w:rsidR="00C53B5A" w:rsidRDefault="00C53B5A" w:rsidP="007B5743">
      <w:pPr>
        <w:spacing w:after="0" w:line="240" w:lineRule="auto"/>
      </w:pPr>
      <w:r>
        <w:separator/>
      </w:r>
    </w:p>
  </w:endnote>
  <w:endnote w:type="continuationSeparator" w:id="0">
    <w:p w14:paraId="41AAC948" w14:textId="77777777" w:rsidR="00C53B5A" w:rsidRDefault="00C53B5A" w:rsidP="007B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8775C" w14:textId="77777777" w:rsidR="00D676A5" w:rsidRDefault="00D676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003910"/>
      <w:docPartObj>
        <w:docPartGallery w:val="Page Numbers (Bottom of Page)"/>
        <w:docPartUnique/>
      </w:docPartObj>
    </w:sdtPr>
    <w:sdtEndPr>
      <w:rPr>
        <w:noProof/>
      </w:rPr>
    </w:sdtEndPr>
    <w:sdtContent>
      <w:p w14:paraId="1A71658C" w14:textId="4C69F06A" w:rsidR="00DC19DE" w:rsidRDefault="00DC19DE">
        <w:pPr>
          <w:pStyle w:val="Footer"/>
          <w:jc w:val="right"/>
        </w:pPr>
        <w:r>
          <w:fldChar w:fldCharType="begin"/>
        </w:r>
        <w:r>
          <w:instrText xml:space="preserve"> PAGE   \* MERGEFORMAT </w:instrText>
        </w:r>
        <w:r>
          <w:fldChar w:fldCharType="separate"/>
        </w:r>
        <w:r w:rsidR="00D676A5">
          <w:rPr>
            <w:noProof/>
          </w:rPr>
          <w:t>1</w:t>
        </w:r>
        <w:r>
          <w:rPr>
            <w:noProof/>
          </w:rPr>
          <w:fldChar w:fldCharType="end"/>
        </w:r>
      </w:p>
    </w:sdtContent>
  </w:sdt>
  <w:p w14:paraId="05503967" w14:textId="3EC7D6C0" w:rsidR="00DC19DE" w:rsidRDefault="00DC19DE">
    <w:pPr>
      <w:pStyle w:val="Footer"/>
    </w:pPr>
    <w:r>
      <w:t xml:space="preserve">Version Date: </w:t>
    </w:r>
    <w:r w:rsidR="002C0ADD">
      <w:t>10</w:t>
    </w:r>
    <w:r>
      <w:t>/</w:t>
    </w:r>
    <w:r w:rsidR="00D676A5">
      <w:t>12</w:t>
    </w:r>
    <w:r>
      <w:t>/2016</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76DAD" w14:textId="77777777" w:rsidR="00D676A5" w:rsidRDefault="00D676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F38FB" w14:textId="77777777" w:rsidR="00C53B5A" w:rsidRDefault="00C53B5A" w:rsidP="007B5743">
      <w:pPr>
        <w:spacing w:after="0" w:line="240" w:lineRule="auto"/>
      </w:pPr>
      <w:r>
        <w:separator/>
      </w:r>
    </w:p>
  </w:footnote>
  <w:footnote w:type="continuationSeparator" w:id="0">
    <w:p w14:paraId="21A5728F" w14:textId="77777777" w:rsidR="00C53B5A" w:rsidRDefault="00C53B5A" w:rsidP="007B57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A9C41" w14:textId="77777777" w:rsidR="00D676A5" w:rsidRDefault="00D676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B2137" w14:textId="7E6A9B77" w:rsidR="007B5743" w:rsidRPr="007A74C3" w:rsidRDefault="007B5743" w:rsidP="007B5743">
    <w:pPr>
      <w:jc w:val="center"/>
    </w:pPr>
    <w:r w:rsidRPr="00DC19DE">
      <w:t>Oakland University</w:t>
    </w:r>
    <w:r w:rsidRPr="00DC19DE">
      <w:br/>
      <w:t>Institutional Biosafety Committee</w:t>
    </w:r>
    <w:r w:rsidRPr="00DC19DE">
      <w:br/>
      <w:t>Exempt Recombinant DNA Registration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8018D" w14:textId="77777777" w:rsidR="00D676A5" w:rsidRDefault="00D676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C2AB1"/>
    <w:multiLevelType w:val="hybridMultilevel"/>
    <w:tmpl w:val="F83CA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3028F"/>
    <w:multiLevelType w:val="hybridMultilevel"/>
    <w:tmpl w:val="26EA2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93231"/>
    <w:multiLevelType w:val="hybridMultilevel"/>
    <w:tmpl w:val="6708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D1E3A"/>
    <w:multiLevelType w:val="hybridMultilevel"/>
    <w:tmpl w:val="B3EE3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A1B02"/>
    <w:multiLevelType w:val="hybridMultilevel"/>
    <w:tmpl w:val="C938EE58"/>
    <w:lvl w:ilvl="0" w:tplc="FBAEF5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C6001"/>
    <w:multiLevelType w:val="hybridMultilevel"/>
    <w:tmpl w:val="BAA84C5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defaultTabStop w:val="720"/>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B5A"/>
    <w:rsid w:val="00006E46"/>
    <w:rsid w:val="00034EC2"/>
    <w:rsid w:val="0006599B"/>
    <w:rsid w:val="00086408"/>
    <w:rsid w:val="000E3B5A"/>
    <w:rsid w:val="001029B9"/>
    <w:rsid w:val="00143288"/>
    <w:rsid w:val="001800C7"/>
    <w:rsid w:val="00193ACF"/>
    <w:rsid w:val="00240F63"/>
    <w:rsid w:val="002773BD"/>
    <w:rsid w:val="0029180E"/>
    <w:rsid w:val="002C0ADD"/>
    <w:rsid w:val="003055EA"/>
    <w:rsid w:val="00384EC1"/>
    <w:rsid w:val="0041428A"/>
    <w:rsid w:val="004469F0"/>
    <w:rsid w:val="004F0B2E"/>
    <w:rsid w:val="00535CB8"/>
    <w:rsid w:val="00537B27"/>
    <w:rsid w:val="0054148A"/>
    <w:rsid w:val="00580F67"/>
    <w:rsid w:val="005946C6"/>
    <w:rsid w:val="005C73AF"/>
    <w:rsid w:val="0064342E"/>
    <w:rsid w:val="006A64E4"/>
    <w:rsid w:val="006B36AE"/>
    <w:rsid w:val="006D0104"/>
    <w:rsid w:val="007260F4"/>
    <w:rsid w:val="00740EE5"/>
    <w:rsid w:val="00763041"/>
    <w:rsid w:val="007A74C3"/>
    <w:rsid w:val="007B5743"/>
    <w:rsid w:val="007D6EB6"/>
    <w:rsid w:val="008148B4"/>
    <w:rsid w:val="00816CD2"/>
    <w:rsid w:val="0082136A"/>
    <w:rsid w:val="00836AD9"/>
    <w:rsid w:val="00854EC2"/>
    <w:rsid w:val="008F05DA"/>
    <w:rsid w:val="00983374"/>
    <w:rsid w:val="00991D48"/>
    <w:rsid w:val="009A37BC"/>
    <w:rsid w:val="009B5373"/>
    <w:rsid w:val="009C0C0B"/>
    <w:rsid w:val="009C573A"/>
    <w:rsid w:val="009F567C"/>
    <w:rsid w:val="00A06230"/>
    <w:rsid w:val="00A24631"/>
    <w:rsid w:val="00A905A3"/>
    <w:rsid w:val="00A93F23"/>
    <w:rsid w:val="00B11D0B"/>
    <w:rsid w:val="00B2522B"/>
    <w:rsid w:val="00B53B8D"/>
    <w:rsid w:val="00B65667"/>
    <w:rsid w:val="00BC0D94"/>
    <w:rsid w:val="00BD10AA"/>
    <w:rsid w:val="00BD1AE2"/>
    <w:rsid w:val="00C051ED"/>
    <w:rsid w:val="00C53B5A"/>
    <w:rsid w:val="00C7622C"/>
    <w:rsid w:val="00CF2E14"/>
    <w:rsid w:val="00D676A5"/>
    <w:rsid w:val="00D95DD8"/>
    <w:rsid w:val="00DC19DE"/>
    <w:rsid w:val="00E760E2"/>
    <w:rsid w:val="00EA2493"/>
    <w:rsid w:val="00EA583E"/>
    <w:rsid w:val="00F030F4"/>
    <w:rsid w:val="00F2116B"/>
    <w:rsid w:val="00F64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D14DEC"/>
  <w15:docId w15:val="{895D42C7-CAA3-4D8C-8D79-0C2705FB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743"/>
  </w:style>
  <w:style w:type="paragraph" w:styleId="Footer">
    <w:name w:val="footer"/>
    <w:basedOn w:val="Normal"/>
    <w:link w:val="FooterChar"/>
    <w:uiPriority w:val="99"/>
    <w:unhideWhenUsed/>
    <w:rsid w:val="007B5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743"/>
  </w:style>
  <w:style w:type="character" w:styleId="Hyperlink">
    <w:name w:val="Hyperlink"/>
    <w:basedOn w:val="DefaultParagraphFont"/>
    <w:uiPriority w:val="99"/>
    <w:unhideWhenUsed/>
    <w:rsid w:val="007B5743"/>
    <w:rPr>
      <w:color w:val="0000FF" w:themeColor="hyperlink"/>
      <w:u w:val="single"/>
    </w:rPr>
  </w:style>
  <w:style w:type="table" w:styleId="TableGrid">
    <w:name w:val="Table Grid"/>
    <w:basedOn w:val="TableNormal"/>
    <w:uiPriority w:val="59"/>
    <w:rsid w:val="009C5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9C573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800C7"/>
    <w:pPr>
      <w:ind w:left="720"/>
      <w:contextualSpacing/>
    </w:pPr>
  </w:style>
  <w:style w:type="paragraph" w:styleId="BalloonText">
    <w:name w:val="Balloon Text"/>
    <w:basedOn w:val="Normal"/>
    <w:link w:val="BalloonTextChar"/>
    <w:uiPriority w:val="99"/>
    <w:semiHidden/>
    <w:unhideWhenUsed/>
    <w:rsid w:val="00C05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1ED"/>
    <w:rPr>
      <w:rFonts w:ascii="Tahoma" w:hAnsi="Tahoma" w:cs="Tahoma"/>
      <w:sz w:val="16"/>
      <w:szCs w:val="16"/>
    </w:rPr>
  </w:style>
  <w:style w:type="character" w:styleId="PlaceholderText">
    <w:name w:val="Placeholder Text"/>
    <w:basedOn w:val="DefaultParagraphFont"/>
    <w:uiPriority w:val="99"/>
    <w:semiHidden/>
    <w:rsid w:val="00C051ED"/>
    <w:rPr>
      <w:color w:val="808080"/>
    </w:rPr>
  </w:style>
  <w:style w:type="table" w:styleId="LightShading-Accent2">
    <w:name w:val="Light Shading Accent 2"/>
    <w:basedOn w:val="TableNormal"/>
    <w:uiPriority w:val="60"/>
    <w:rsid w:val="0076304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
    <w:name w:val="Light Shading"/>
    <w:basedOn w:val="TableNormal"/>
    <w:uiPriority w:val="60"/>
    <w:rsid w:val="007630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7D6EB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7622C"/>
    <w:rPr>
      <w:sz w:val="16"/>
      <w:szCs w:val="16"/>
    </w:rPr>
  </w:style>
  <w:style w:type="paragraph" w:styleId="CommentText">
    <w:name w:val="annotation text"/>
    <w:basedOn w:val="Normal"/>
    <w:link w:val="CommentTextChar"/>
    <w:uiPriority w:val="99"/>
    <w:semiHidden/>
    <w:unhideWhenUsed/>
    <w:rsid w:val="00C7622C"/>
    <w:pPr>
      <w:spacing w:line="240" w:lineRule="auto"/>
    </w:pPr>
    <w:rPr>
      <w:sz w:val="20"/>
      <w:szCs w:val="20"/>
    </w:rPr>
  </w:style>
  <w:style w:type="character" w:customStyle="1" w:styleId="CommentTextChar">
    <w:name w:val="Comment Text Char"/>
    <w:basedOn w:val="DefaultParagraphFont"/>
    <w:link w:val="CommentText"/>
    <w:uiPriority w:val="99"/>
    <w:semiHidden/>
    <w:rsid w:val="00C7622C"/>
    <w:rPr>
      <w:sz w:val="20"/>
      <w:szCs w:val="20"/>
    </w:rPr>
  </w:style>
  <w:style w:type="paragraph" w:styleId="CommentSubject">
    <w:name w:val="annotation subject"/>
    <w:basedOn w:val="CommentText"/>
    <w:next w:val="CommentText"/>
    <w:link w:val="CommentSubjectChar"/>
    <w:uiPriority w:val="99"/>
    <w:semiHidden/>
    <w:unhideWhenUsed/>
    <w:rsid w:val="00C7622C"/>
    <w:rPr>
      <w:b/>
      <w:bCs/>
    </w:rPr>
  </w:style>
  <w:style w:type="character" w:customStyle="1" w:styleId="CommentSubjectChar">
    <w:name w:val="Comment Subject Char"/>
    <w:basedOn w:val="CommentTextChar"/>
    <w:link w:val="CommentSubject"/>
    <w:uiPriority w:val="99"/>
    <w:semiHidden/>
    <w:rsid w:val="00C762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713233">
      <w:bodyDiv w:val="1"/>
      <w:marLeft w:val="0"/>
      <w:marRight w:val="0"/>
      <w:marTop w:val="0"/>
      <w:marBottom w:val="0"/>
      <w:divBdr>
        <w:top w:val="none" w:sz="0" w:space="0" w:color="auto"/>
        <w:left w:val="none" w:sz="0" w:space="0" w:color="auto"/>
        <w:bottom w:val="none" w:sz="0" w:space="0" w:color="auto"/>
        <w:right w:val="none" w:sz="0" w:space="0" w:color="auto"/>
      </w:divBdr>
    </w:div>
    <w:div w:id="1423603839">
      <w:bodyDiv w:val="1"/>
      <w:marLeft w:val="0"/>
      <w:marRight w:val="0"/>
      <w:marTop w:val="0"/>
      <w:marBottom w:val="0"/>
      <w:divBdr>
        <w:top w:val="none" w:sz="0" w:space="0" w:color="auto"/>
        <w:left w:val="none" w:sz="0" w:space="0" w:color="auto"/>
        <w:bottom w:val="none" w:sz="0" w:space="0" w:color="auto"/>
        <w:right w:val="none" w:sz="0" w:space="0" w:color="auto"/>
      </w:divBdr>
    </w:div>
    <w:div w:id="199899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ddad@oakland.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lectagents.gov/SelectAgentsandToxinsList.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sp.od.nih.gov/sites/default/files/NIH_Guideline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ddad@oakland.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7E932-9394-4655-A6C4-5DA3A4DD3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2328</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Luongo</dc:creator>
  <cp:lastModifiedBy>Domenico Luongo</cp:lastModifiedBy>
  <cp:revision>9</cp:revision>
  <cp:lastPrinted>2016-06-20T13:00:00Z</cp:lastPrinted>
  <dcterms:created xsi:type="dcterms:W3CDTF">2016-09-07T12:36:00Z</dcterms:created>
  <dcterms:modified xsi:type="dcterms:W3CDTF">2016-10-12T13:58:00Z</dcterms:modified>
</cp:coreProperties>
</file>