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C3" w:rsidRDefault="008330C3" w:rsidP="004F2D0C">
      <w:pPr>
        <w:rPr>
          <w:rFonts w:ascii="Arial" w:hAnsi="Arial" w:cs="Arial"/>
          <w:sz w:val="22"/>
          <w:szCs w:val="22"/>
        </w:rPr>
      </w:pPr>
    </w:p>
    <w:p w:rsidR="008330C3" w:rsidRDefault="008330C3" w:rsidP="004F2D0C">
      <w:pPr>
        <w:rPr>
          <w:rFonts w:ascii="Arial" w:hAnsi="Arial" w:cs="Arial"/>
          <w:sz w:val="22"/>
          <w:szCs w:val="22"/>
        </w:rPr>
      </w:pPr>
    </w:p>
    <w:p w:rsidR="0055593A" w:rsidRPr="00B83249" w:rsidRDefault="00E947A2" w:rsidP="004F2D0C">
      <w:pPr>
        <w:rPr>
          <w:rFonts w:ascii="Arial" w:hAnsi="Arial" w:cs="Arial"/>
          <w:sz w:val="22"/>
          <w:szCs w:val="22"/>
        </w:rPr>
      </w:pPr>
      <w:r>
        <w:rPr>
          <w:rFonts w:ascii="Arial" w:hAnsi="Arial" w:cs="Arial"/>
          <w:sz w:val="22"/>
          <w:szCs w:val="22"/>
        </w:rPr>
        <w:t>August 19</w:t>
      </w:r>
      <w:r w:rsidR="00755451">
        <w:rPr>
          <w:rFonts w:ascii="Arial" w:hAnsi="Arial" w:cs="Arial"/>
          <w:sz w:val="22"/>
          <w:szCs w:val="22"/>
        </w:rPr>
        <w:t>, 201</w:t>
      </w:r>
      <w:r w:rsidR="009F1F10">
        <w:rPr>
          <w:rFonts w:ascii="Arial" w:hAnsi="Arial" w:cs="Arial"/>
          <w:sz w:val="22"/>
          <w:szCs w:val="22"/>
        </w:rPr>
        <w:t>1</w:t>
      </w:r>
    </w:p>
    <w:p w:rsidR="004F2D0C" w:rsidRPr="00B83249" w:rsidRDefault="004F2D0C">
      <w:pPr>
        <w:outlineLvl w:val="0"/>
        <w:rPr>
          <w:rFonts w:ascii="Arial" w:hAnsi="Arial" w:cs="Arial"/>
          <w:sz w:val="22"/>
          <w:szCs w:val="22"/>
        </w:rPr>
      </w:pPr>
    </w:p>
    <w:p w:rsidR="008330C3" w:rsidRDefault="008330C3">
      <w:pPr>
        <w:outlineLvl w:val="0"/>
        <w:rPr>
          <w:rFonts w:ascii="Arial" w:hAnsi="Arial" w:cs="Arial"/>
          <w:sz w:val="22"/>
          <w:szCs w:val="22"/>
        </w:rPr>
      </w:pPr>
    </w:p>
    <w:p w:rsidR="0055593A" w:rsidRPr="00B83249" w:rsidRDefault="0055593A">
      <w:pPr>
        <w:outlineLvl w:val="0"/>
        <w:rPr>
          <w:rFonts w:ascii="Arial" w:hAnsi="Arial" w:cs="Arial"/>
          <w:sz w:val="22"/>
          <w:szCs w:val="22"/>
        </w:rPr>
      </w:pPr>
      <w:r w:rsidRPr="00B83249">
        <w:rPr>
          <w:rFonts w:ascii="Arial" w:hAnsi="Arial" w:cs="Arial"/>
          <w:sz w:val="22"/>
          <w:szCs w:val="22"/>
        </w:rPr>
        <w:t>MEMORANDUM</w:t>
      </w:r>
    </w:p>
    <w:p w:rsidR="004F2D0C" w:rsidRPr="00B83249" w:rsidRDefault="004F2D0C" w:rsidP="004F2D0C">
      <w:pPr>
        <w:rPr>
          <w:rFonts w:ascii="Arial" w:hAnsi="Arial" w:cs="Arial"/>
          <w:sz w:val="22"/>
          <w:szCs w:val="22"/>
        </w:rPr>
      </w:pPr>
    </w:p>
    <w:p w:rsidR="0055593A" w:rsidRPr="00B83249" w:rsidRDefault="004F2D0C" w:rsidP="00B05691">
      <w:pPr>
        <w:ind w:left="720" w:hanging="720"/>
        <w:rPr>
          <w:rFonts w:ascii="Arial" w:hAnsi="Arial" w:cs="Arial"/>
          <w:sz w:val="22"/>
          <w:szCs w:val="22"/>
        </w:rPr>
      </w:pPr>
      <w:r w:rsidRPr="00B83249">
        <w:rPr>
          <w:rFonts w:ascii="Arial" w:hAnsi="Arial" w:cs="Arial"/>
          <w:sz w:val="22"/>
          <w:szCs w:val="22"/>
        </w:rPr>
        <w:t>TO:</w:t>
      </w:r>
      <w:r w:rsidRPr="00B83249">
        <w:rPr>
          <w:rFonts w:ascii="Arial" w:hAnsi="Arial" w:cs="Arial"/>
          <w:sz w:val="22"/>
          <w:szCs w:val="22"/>
        </w:rPr>
        <w:tab/>
      </w:r>
      <w:r w:rsidR="00B05691">
        <w:rPr>
          <w:rFonts w:ascii="Arial" w:hAnsi="Arial" w:cs="Arial"/>
          <w:sz w:val="22"/>
          <w:szCs w:val="22"/>
        </w:rPr>
        <w:t xml:space="preserve">  The Oakland University Community</w:t>
      </w:r>
    </w:p>
    <w:p w:rsidR="009F1F10" w:rsidRDefault="009F1F10">
      <w:pPr>
        <w:pStyle w:val="Header"/>
        <w:tabs>
          <w:tab w:val="clear" w:pos="4320"/>
          <w:tab w:val="clear" w:pos="8640"/>
        </w:tabs>
        <w:outlineLvl w:val="0"/>
        <w:rPr>
          <w:rFonts w:ascii="Arial" w:hAnsi="Arial" w:cs="Arial"/>
          <w:sz w:val="22"/>
          <w:szCs w:val="22"/>
        </w:rPr>
      </w:pPr>
    </w:p>
    <w:p w:rsidR="0055593A" w:rsidRPr="00B83249" w:rsidRDefault="0055593A">
      <w:pPr>
        <w:pStyle w:val="Header"/>
        <w:tabs>
          <w:tab w:val="clear" w:pos="4320"/>
          <w:tab w:val="clear" w:pos="8640"/>
        </w:tabs>
        <w:outlineLvl w:val="0"/>
        <w:rPr>
          <w:rFonts w:ascii="Arial" w:hAnsi="Arial" w:cs="Arial"/>
          <w:sz w:val="22"/>
          <w:szCs w:val="22"/>
        </w:rPr>
      </w:pPr>
      <w:r w:rsidRPr="00B83249">
        <w:rPr>
          <w:rFonts w:ascii="Arial" w:hAnsi="Arial" w:cs="Arial"/>
          <w:sz w:val="22"/>
          <w:szCs w:val="22"/>
        </w:rPr>
        <w:t xml:space="preserve">FROM:   Laura </w:t>
      </w:r>
      <w:proofErr w:type="spellStart"/>
      <w:r w:rsidRPr="00B83249">
        <w:rPr>
          <w:rFonts w:ascii="Arial" w:hAnsi="Arial" w:cs="Arial"/>
          <w:sz w:val="22"/>
          <w:szCs w:val="22"/>
        </w:rPr>
        <w:t>Schartman</w:t>
      </w:r>
      <w:proofErr w:type="spellEnd"/>
      <w:r w:rsidRPr="00B83249">
        <w:rPr>
          <w:rFonts w:ascii="Arial" w:hAnsi="Arial" w:cs="Arial"/>
          <w:sz w:val="22"/>
          <w:szCs w:val="22"/>
        </w:rPr>
        <w:t>, Director</w:t>
      </w:r>
    </w:p>
    <w:p w:rsidR="0055593A" w:rsidRPr="00B83249" w:rsidRDefault="0055593A">
      <w:pPr>
        <w:rPr>
          <w:rFonts w:ascii="Arial" w:hAnsi="Arial" w:cs="Arial"/>
          <w:sz w:val="22"/>
          <w:szCs w:val="22"/>
        </w:rPr>
      </w:pPr>
      <w:r w:rsidRPr="00B83249">
        <w:rPr>
          <w:rFonts w:ascii="Arial" w:hAnsi="Arial" w:cs="Arial"/>
          <w:sz w:val="22"/>
          <w:szCs w:val="22"/>
        </w:rPr>
        <w:t xml:space="preserve">              Institutional Research and Assessment</w:t>
      </w:r>
    </w:p>
    <w:p w:rsidR="0055593A" w:rsidRPr="00B83249" w:rsidRDefault="0055593A">
      <w:pPr>
        <w:rPr>
          <w:rFonts w:ascii="Arial" w:hAnsi="Arial" w:cs="Arial"/>
          <w:sz w:val="22"/>
          <w:szCs w:val="22"/>
        </w:rPr>
      </w:pPr>
    </w:p>
    <w:p w:rsidR="0055593A" w:rsidRDefault="0055593A">
      <w:pPr>
        <w:rPr>
          <w:rFonts w:ascii="Arial" w:hAnsi="Arial" w:cs="Arial"/>
          <w:sz w:val="22"/>
          <w:szCs w:val="22"/>
        </w:rPr>
      </w:pPr>
      <w:r w:rsidRPr="00B83249">
        <w:rPr>
          <w:rFonts w:ascii="Arial" w:hAnsi="Arial" w:cs="Arial"/>
          <w:sz w:val="22"/>
          <w:szCs w:val="22"/>
        </w:rPr>
        <w:t xml:space="preserve">Subject:  </w:t>
      </w:r>
      <w:r w:rsidR="00B05691">
        <w:rPr>
          <w:rFonts w:ascii="Arial" w:hAnsi="Arial" w:cs="Arial"/>
          <w:sz w:val="22"/>
          <w:szCs w:val="22"/>
        </w:rPr>
        <w:t xml:space="preserve">‘Summer </w:t>
      </w:r>
      <w:r w:rsidR="00A80993">
        <w:rPr>
          <w:rFonts w:ascii="Arial" w:hAnsi="Arial" w:cs="Arial"/>
          <w:sz w:val="22"/>
          <w:szCs w:val="22"/>
        </w:rPr>
        <w:t xml:space="preserve">II </w:t>
      </w:r>
      <w:r w:rsidR="00B05691">
        <w:rPr>
          <w:rFonts w:ascii="Arial" w:hAnsi="Arial" w:cs="Arial"/>
          <w:sz w:val="22"/>
          <w:szCs w:val="22"/>
        </w:rPr>
        <w:t>Session’</w:t>
      </w:r>
      <w:r w:rsidR="005F2A6B" w:rsidRPr="00B83249">
        <w:rPr>
          <w:rFonts w:ascii="Arial" w:hAnsi="Arial" w:cs="Arial"/>
          <w:sz w:val="22"/>
          <w:szCs w:val="22"/>
        </w:rPr>
        <w:t xml:space="preserve"> </w:t>
      </w:r>
      <w:r w:rsidR="00263192">
        <w:rPr>
          <w:rFonts w:ascii="Arial" w:hAnsi="Arial" w:cs="Arial"/>
          <w:sz w:val="22"/>
          <w:szCs w:val="22"/>
        </w:rPr>
        <w:t>Final and Summer Semester 2011 Total Enrollment</w:t>
      </w:r>
    </w:p>
    <w:p w:rsidR="00AF3A36" w:rsidRDefault="00AF3A36">
      <w:pPr>
        <w:rPr>
          <w:rFonts w:ascii="Arial" w:hAnsi="Arial" w:cs="Arial"/>
          <w:sz w:val="22"/>
          <w:szCs w:val="22"/>
        </w:rPr>
      </w:pPr>
    </w:p>
    <w:p w:rsidR="008330C3" w:rsidRDefault="008330C3">
      <w:pPr>
        <w:rPr>
          <w:rFonts w:ascii="Arial" w:hAnsi="Arial" w:cs="Arial"/>
          <w:sz w:val="22"/>
          <w:szCs w:val="22"/>
        </w:rPr>
      </w:pPr>
    </w:p>
    <w:p w:rsidR="00B953F0" w:rsidRPr="009F1F10" w:rsidRDefault="009F1F10" w:rsidP="00F64325">
      <w:pPr>
        <w:jc w:val="center"/>
        <w:rPr>
          <w:rFonts w:ascii="Arial" w:hAnsi="Arial" w:cs="Arial"/>
          <w:b/>
          <w:sz w:val="22"/>
          <w:szCs w:val="22"/>
        </w:rPr>
      </w:pPr>
      <w:r w:rsidRPr="00D2564E">
        <w:rPr>
          <w:rFonts w:ascii="Arial" w:hAnsi="Arial" w:cs="Arial"/>
          <w:b/>
          <w:sz w:val="22"/>
          <w:szCs w:val="22"/>
        </w:rPr>
        <w:t>Final ‘S</w:t>
      </w:r>
      <w:r>
        <w:rPr>
          <w:rFonts w:ascii="Arial" w:hAnsi="Arial" w:cs="Arial"/>
          <w:b/>
          <w:sz w:val="22"/>
          <w:szCs w:val="22"/>
        </w:rPr>
        <w:t>ummer</w:t>
      </w:r>
      <w:r w:rsidRPr="00D2564E">
        <w:rPr>
          <w:rFonts w:ascii="Arial" w:hAnsi="Arial" w:cs="Arial"/>
          <w:b/>
          <w:sz w:val="22"/>
          <w:szCs w:val="22"/>
        </w:rPr>
        <w:t xml:space="preserve"> </w:t>
      </w:r>
      <w:r w:rsidR="00A80993">
        <w:rPr>
          <w:rFonts w:ascii="Arial" w:hAnsi="Arial" w:cs="Arial"/>
          <w:b/>
          <w:sz w:val="22"/>
          <w:szCs w:val="22"/>
        </w:rPr>
        <w:t xml:space="preserve">II </w:t>
      </w:r>
      <w:r w:rsidRPr="00D2564E">
        <w:rPr>
          <w:rFonts w:ascii="Arial" w:hAnsi="Arial" w:cs="Arial"/>
          <w:b/>
          <w:sz w:val="22"/>
          <w:szCs w:val="22"/>
        </w:rPr>
        <w:t>Session’ Enrollment</w:t>
      </w:r>
    </w:p>
    <w:p w:rsidR="00F76047" w:rsidRDefault="00F76047" w:rsidP="00F76047">
      <w:pPr>
        <w:rPr>
          <w:rFonts w:ascii="Arial" w:hAnsi="Arial" w:cs="Arial"/>
          <w:sz w:val="22"/>
          <w:szCs w:val="22"/>
        </w:rPr>
      </w:pPr>
      <w:r>
        <w:rPr>
          <w:rFonts w:ascii="Arial" w:hAnsi="Arial" w:cs="Arial"/>
          <w:sz w:val="22"/>
          <w:szCs w:val="22"/>
        </w:rPr>
        <w:t xml:space="preserve">The </w:t>
      </w:r>
      <w:r w:rsidR="00263192">
        <w:rPr>
          <w:rFonts w:ascii="Arial" w:hAnsi="Arial" w:cs="Arial"/>
          <w:sz w:val="22"/>
          <w:szCs w:val="22"/>
        </w:rPr>
        <w:t>final</w:t>
      </w:r>
      <w:r>
        <w:rPr>
          <w:rFonts w:ascii="Arial" w:hAnsi="Arial" w:cs="Arial"/>
          <w:sz w:val="22"/>
          <w:szCs w:val="22"/>
        </w:rPr>
        <w:t xml:space="preserve"> count for </w:t>
      </w:r>
      <w:r w:rsidR="00A80993">
        <w:rPr>
          <w:rFonts w:ascii="Arial" w:hAnsi="Arial" w:cs="Arial"/>
          <w:sz w:val="22"/>
          <w:szCs w:val="22"/>
        </w:rPr>
        <w:t>Summer II</w:t>
      </w:r>
      <w:r>
        <w:rPr>
          <w:rFonts w:ascii="Arial" w:hAnsi="Arial" w:cs="Arial"/>
          <w:sz w:val="22"/>
          <w:szCs w:val="22"/>
        </w:rPr>
        <w:t xml:space="preserve"> aggregates data pulled at the end of the refund period for each part-of-term</w:t>
      </w:r>
      <w:r w:rsidR="00E564E1">
        <w:rPr>
          <w:rFonts w:ascii="Arial" w:hAnsi="Arial" w:cs="Arial"/>
          <w:sz w:val="22"/>
          <w:szCs w:val="22"/>
        </w:rPr>
        <w:t xml:space="preserve"> in the second half of the </w:t>
      </w:r>
      <w:proofErr w:type="gramStart"/>
      <w:r w:rsidR="00A80993">
        <w:rPr>
          <w:rFonts w:ascii="Arial" w:hAnsi="Arial" w:cs="Arial"/>
          <w:sz w:val="22"/>
          <w:szCs w:val="22"/>
        </w:rPr>
        <w:t>S</w:t>
      </w:r>
      <w:r w:rsidR="00E564E1">
        <w:rPr>
          <w:rFonts w:ascii="Arial" w:hAnsi="Arial" w:cs="Arial"/>
          <w:sz w:val="22"/>
          <w:szCs w:val="22"/>
        </w:rPr>
        <w:t>ummer</w:t>
      </w:r>
      <w:proofErr w:type="gramEnd"/>
      <w:r w:rsidR="00E564E1">
        <w:rPr>
          <w:rFonts w:ascii="Arial" w:hAnsi="Arial" w:cs="Arial"/>
          <w:sz w:val="22"/>
          <w:szCs w:val="22"/>
        </w:rPr>
        <w:t xml:space="preserve"> 20</w:t>
      </w:r>
      <w:r w:rsidR="00B953F0">
        <w:rPr>
          <w:rFonts w:ascii="Arial" w:hAnsi="Arial" w:cs="Arial"/>
          <w:sz w:val="22"/>
          <w:szCs w:val="22"/>
        </w:rPr>
        <w:t>1</w:t>
      </w:r>
      <w:r w:rsidR="009F1F10">
        <w:rPr>
          <w:rFonts w:ascii="Arial" w:hAnsi="Arial" w:cs="Arial"/>
          <w:sz w:val="22"/>
          <w:szCs w:val="22"/>
        </w:rPr>
        <w:t>1</w:t>
      </w:r>
      <w:r w:rsidR="00E564E1">
        <w:rPr>
          <w:rFonts w:ascii="Arial" w:hAnsi="Arial" w:cs="Arial"/>
          <w:sz w:val="22"/>
          <w:szCs w:val="22"/>
        </w:rPr>
        <w:t xml:space="preserve"> semester</w:t>
      </w:r>
      <w:r>
        <w:rPr>
          <w:rFonts w:ascii="Arial" w:hAnsi="Arial" w:cs="Arial"/>
          <w:sz w:val="22"/>
          <w:szCs w:val="22"/>
        </w:rPr>
        <w:t xml:space="preserve">.  </w:t>
      </w:r>
      <w:r>
        <w:rPr>
          <w:rFonts w:ascii="Arial" w:hAnsi="Arial" w:cs="Arial"/>
          <w:sz w:val="22"/>
        </w:rPr>
        <w:t xml:space="preserve">As of the final count date for the parts of term in </w:t>
      </w:r>
      <w:r w:rsidR="009F1F10">
        <w:rPr>
          <w:rFonts w:ascii="Arial" w:hAnsi="Arial" w:cs="Arial"/>
          <w:sz w:val="22"/>
        </w:rPr>
        <w:t>Summer II</w:t>
      </w:r>
      <w:r w:rsidR="0003279C">
        <w:rPr>
          <w:rFonts w:ascii="Arial" w:hAnsi="Arial" w:cs="Arial"/>
          <w:sz w:val="22"/>
        </w:rPr>
        <w:t xml:space="preserve"> (July 26)</w:t>
      </w:r>
      <w:r>
        <w:rPr>
          <w:rFonts w:ascii="Arial" w:hAnsi="Arial" w:cs="Arial"/>
          <w:sz w:val="22"/>
        </w:rPr>
        <w:t xml:space="preserve">, </w:t>
      </w:r>
      <w:r w:rsidR="0003279C">
        <w:rPr>
          <w:rFonts w:ascii="Arial" w:hAnsi="Arial" w:cs="Arial"/>
          <w:sz w:val="22"/>
        </w:rPr>
        <w:t>5,</w:t>
      </w:r>
      <w:r w:rsidR="00263192">
        <w:rPr>
          <w:rFonts w:ascii="Arial" w:hAnsi="Arial" w:cs="Arial"/>
          <w:sz w:val="22"/>
        </w:rPr>
        <w:t>1</w:t>
      </w:r>
      <w:r w:rsidR="009F1F10">
        <w:rPr>
          <w:rFonts w:ascii="Arial" w:hAnsi="Arial" w:cs="Arial"/>
          <w:sz w:val="22"/>
        </w:rPr>
        <w:t>67</w:t>
      </w:r>
      <w:r w:rsidR="00B953F0">
        <w:rPr>
          <w:rFonts w:ascii="Arial" w:hAnsi="Arial" w:cs="Arial"/>
          <w:sz w:val="22"/>
        </w:rPr>
        <w:t xml:space="preserve"> students </w:t>
      </w:r>
      <w:r w:rsidR="00263192">
        <w:rPr>
          <w:rFonts w:ascii="Arial" w:hAnsi="Arial" w:cs="Arial"/>
          <w:sz w:val="22"/>
        </w:rPr>
        <w:t xml:space="preserve">were </w:t>
      </w:r>
      <w:r w:rsidR="00B953F0">
        <w:rPr>
          <w:rFonts w:ascii="Arial" w:hAnsi="Arial" w:cs="Arial"/>
          <w:sz w:val="22"/>
        </w:rPr>
        <w:t>enrolled in</w:t>
      </w:r>
      <w:r w:rsidRPr="00B83249">
        <w:rPr>
          <w:rFonts w:ascii="Arial" w:hAnsi="Arial" w:cs="Arial"/>
          <w:sz w:val="22"/>
          <w:szCs w:val="22"/>
        </w:rPr>
        <w:t xml:space="preserve"> </w:t>
      </w:r>
      <w:r w:rsidR="009F1F10">
        <w:rPr>
          <w:rFonts w:ascii="Arial" w:hAnsi="Arial" w:cs="Arial"/>
          <w:sz w:val="22"/>
          <w:szCs w:val="22"/>
        </w:rPr>
        <w:t>22</w:t>
      </w:r>
      <w:r w:rsidR="00B953F0">
        <w:rPr>
          <w:rFonts w:ascii="Arial" w:hAnsi="Arial" w:cs="Arial"/>
          <w:sz w:val="22"/>
          <w:szCs w:val="22"/>
        </w:rPr>
        <w:t>,</w:t>
      </w:r>
      <w:r w:rsidR="009F1F10">
        <w:rPr>
          <w:rFonts w:ascii="Arial" w:hAnsi="Arial" w:cs="Arial"/>
          <w:sz w:val="22"/>
          <w:szCs w:val="22"/>
        </w:rPr>
        <w:t xml:space="preserve">650 </w:t>
      </w:r>
      <w:r w:rsidR="00B953F0">
        <w:rPr>
          <w:rFonts w:ascii="Arial" w:hAnsi="Arial" w:cs="Arial"/>
          <w:sz w:val="22"/>
          <w:szCs w:val="22"/>
        </w:rPr>
        <w:t xml:space="preserve">credits. </w:t>
      </w:r>
      <w:r w:rsidRPr="00B83249">
        <w:rPr>
          <w:rFonts w:ascii="Arial" w:hAnsi="Arial" w:cs="Arial"/>
          <w:sz w:val="22"/>
          <w:szCs w:val="22"/>
        </w:rPr>
        <w:t xml:space="preserve">FYES </w:t>
      </w:r>
      <w:r w:rsidR="00263192">
        <w:rPr>
          <w:rFonts w:ascii="Arial" w:hAnsi="Arial" w:cs="Arial"/>
          <w:sz w:val="22"/>
          <w:szCs w:val="22"/>
        </w:rPr>
        <w:t>is</w:t>
      </w:r>
      <w:r w:rsidRPr="00B83249">
        <w:rPr>
          <w:rFonts w:ascii="Arial" w:hAnsi="Arial" w:cs="Arial"/>
          <w:sz w:val="22"/>
          <w:szCs w:val="22"/>
        </w:rPr>
        <w:t xml:space="preserve"> </w:t>
      </w:r>
      <w:r w:rsidR="009F1F10">
        <w:rPr>
          <w:rFonts w:ascii="Arial" w:hAnsi="Arial" w:cs="Arial"/>
          <w:sz w:val="22"/>
          <w:szCs w:val="22"/>
        </w:rPr>
        <w:t>78</w:t>
      </w:r>
      <w:r w:rsidR="00B953F0">
        <w:rPr>
          <w:rFonts w:ascii="Arial" w:hAnsi="Arial" w:cs="Arial"/>
          <w:sz w:val="22"/>
          <w:szCs w:val="22"/>
        </w:rPr>
        <w:t>9</w:t>
      </w:r>
      <w:r w:rsidRPr="00B83249">
        <w:rPr>
          <w:rFonts w:ascii="Arial" w:hAnsi="Arial" w:cs="Arial"/>
          <w:sz w:val="22"/>
          <w:szCs w:val="22"/>
        </w:rPr>
        <w:t xml:space="preserve">, </w:t>
      </w:r>
      <w:r w:rsidR="009F1F10">
        <w:rPr>
          <w:rFonts w:ascii="Arial" w:hAnsi="Arial" w:cs="Arial"/>
          <w:sz w:val="22"/>
          <w:szCs w:val="22"/>
        </w:rPr>
        <w:t>down</w:t>
      </w:r>
      <w:r>
        <w:rPr>
          <w:rFonts w:ascii="Arial" w:hAnsi="Arial" w:cs="Arial"/>
          <w:sz w:val="22"/>
          <w:szCs w:val="22"/>
        </w:rPr>
        <w:t xml:space="preserve"> </w:t>
      </w:r>
      <w:r w:rsidR="001E76C6">
        <w:rPr>
          <w:rFonts w:ascii="Arial" w:hAnsi="Arial" w:cs="Arial"/>
          <w:sz w:val="22"/>
          <w:szCs w:val="22"/>
        </w:rPr>
        <w:t>about</w:t>
      </w:r>
      <w:r>
        <w:rPr>
          <w:rFonts w:ascii="Arial" w:hAnsi="Arial" w:cs="Arial"/>
          <w:sz w:val="22"/>
          <w:szCs w:val="22"/>
        </w:rPr>
        <w:t xml:space="preserve"> </w:t>
      </w:r>
      <w:r w:rsidR="00B953F0">
        <w:rPr>
          <w:rFonts w:ascii="Arial" w:hAnsi="Arial" w:cs="Arial"/>
          <w:sz w:val="22"/>
          <w:szCs w:val="22"/>
        </w:rPr>
        <w:t>9</w:t>
      </w:r>
      <w:r>
        <w:rPr>
          <w:rFonts w:ascii="Arial" w:hAnsi="Arial" w:cs="Arial"/>
          <w:sz w:val="22"/>
          <w:szCs w:val="22"/>
        </w:rPr>
        <w:t>% from last year</w:t>
      </w:r>
      <w:r w:rsidRPr="00B83249">
        <w:rPr>
          <w:rFonts w:ascii="Arial" w:hAnsi="Arial" w:cs="Arial"/>
          <w:sz w:val="22"/>
          <w:szCs w:val="22"/>
        </w:rPr>
        <w:t xml:space="preserve">.  The table below shows </w:t>
      </w:r>
      <w:r>
        <w:rPr>
          <w:rFonts w:ascii="Arial" w:hAnsi="Arial" w:cs="Arial"/>
          <w:sz w:val="22"/>
          <w:szCs w:val="22"/>
        </w:rPr>
        <w:t>the breakout.</w:t>
      </w:r>
    </w:p>
    <w:p w:rsidR="00F04AB0" w:rsidRDefault="00F04AB0">
      <w:pPr>
        <w:rPr>
          <w:rFonts w:ascii="Arial" w:hAnsi="Arial" w:cs="Arial"/>
          <w:sz w:val="22"/>
          <w:szCs w:val="22"/>
        </w:rPr>
      </w:pPr>
    </w:p>
    <w:p w:rsidR="00FE56A0" w:rsidRPr="00B83249" w:rsidRDefault="00FE56A0">
      <w:pPr>
        <w:rPr>
          <w:rFonts w:ascii="Arial" w:hAnsi="Arial" w:cs="Arial"/>
          <w:sz w:val="22"/>
          <w:szCs w:val="22"/>
        </w:rPr>
      </w:pPr>
      <w:r w:rsidRPr="00D2564E">
        <w:rPr>
          <w:rFonts w:ascii="Arial" w:hAnsi="Arial" w:cs="Arial"/>
          <w:b/>
          <w:sz w:val="22"/>
          <w:szCs w:val="22"/>
        </w:rPr>
        <w:t>Table I:</w:t>
      </w:r>
      <w:r>
        <w:rPr>
          <w:rFonts w:ascii="Arial" w:hAnsi="Arial" w:cs="Arial"/>
          <w:sz w:val="22"/>
          <w:szCs w:val="22"/>
        </w:rPr>
        <w:t xml:space="preserve">  </w:t>
      </w:r>
      <w:r w:rsidRPr="00D2564E">
        <w:rPr>
          <w:rFonts w:ascii="Arial" w:hAnsi="Arial" w:cs="Arial"/>
          <w:b/>
          <w:sz w:val="22"/>
          <w:szCs w:val="22"/>
        </w:rPr>
        <w:t xml:space="preserve">Final Summer </w:t>
      </w:r>
      <w:r>
        <w:rPr>
          <w:rFonts w:ascii="Arial" w:hAnsi="Arial" w:cs="Arial"/>
          <w:b/>
          <w:sz w:val="22"/>
          <w:szCs w:val="22"/>
        </w:rPr>
        <w:t>II</w:t>
      </w:r>
      <w:r w:rsidRPr="00D2564E">
        <w:rPr>
          <w:rFonts w:ascii="Arial" w:hAnsi="Arial" w:cs="Arial"/>
          <w:b/>
          <w:sz w:val="22"/>
          <w:szCs w:val="22"/>
        </w:rPr>
        <w:t xml:space="preserve"> Headcounts, Credits and FYES</w:t>
      </w:r>
    </w:p>
    <w:p w:rsidR="00F0661A" w:rsidRPr="00854DD9" w:rsidRDefault="00A80993" w:rsidP="00F0661A">
      <w:pPr>
        <w:rPr>
          <w:rFonts w:ascii="Arial" w:hAnsi="Arial" w:cs="Arial"/>
          <w:sz w:val="18"/>
          <w:szCs w:val="18"/>
        </w:rPr>
      </w:pPr>
      <w:r w:rsidRPr="002239EC">
        <w:rPr>
          <w:rFonts w:ascii="Arial" w:hAnsi="Arial" w:cs="Arial"/>
          <w:sz w:val="22"/>
          <w:szCs w:val="22"/>
        </w:rPr>
        <w:object w:dxaOrig="8905" w:dyaOrig="2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102pt" o:ole="">
            <v:imagedata r:id="rId8" o:title=""/>
          </v:shape>
          <o:OLEObject Type="Embed" ProgID="Excel.Sheet.12" ShapeID="_x0000_i1025" DrawAspect="Content" ObjectID="_1375604035" r:id="rId9"/>
        </w:object>
      </w:r>
      <w:r w:rsidR="00F0661A" w:rsidRPr="00854DD9">
        <w:rPr>
          <w:rFonts w:ascii="Arial" w:hAnsi="Arial" w:cs="Arial"/>
          <w:sz w:val="22"/>
          <w:szCs w:val="22"/>
        </w:rPr>
        <w:t xml:space="preserve">* </w:t>
      </w:r>
      <w:r w:rsidR="00F0661A" w:rsidRPr="00F379CE">
        <w:rPr>
          <w:rFonts w:ascii="Arial" w:hAnsi="Arial" w:cs="Arial"/>
          <w:sz w:val="18"/>
          <w:szCs w:val="18"/>
        </w:rPr>
        <w:t>F</w:t>
      </w:r>
      <w:r w:rsidR="00F0661A" w:rsidRPr="00854DD9">
        <w:rPr>
          <w:rFonts w:ascii="Arial" w:hAnsi="Arial" w:cs="Arial"/>
          <w:sz w:val="18"/>
          <w:szCs w:val="18"/>
        </w:rPr>
        <w:t>Y</w:t>
      </w:r>
      <w:r w:rsidR="00F0661A">
        <w:rPr>
          <w:rFonts w:ascii="Arial" w:hAnsi="Arial" w:cs="Arial"/>
          <w:sz w:val="18"/>
          <w:szCs w:val="18"/>
        </w:rPr>
        <w:t xml:space="preserve">ES calculations exclude </w:t>
      </w:r>
      <w:r w:rsidR="00F0661A" w:rsidRPr="00854DD9">
        <w:rPr>
          <w:rFonts w:ascii="Arial" w:hAnsi="Arial" w:cs="Arial"/>
          <w:sz w:val="18"/>
          <w:szCs w:val="18"/>
        </w:rPr>
        <w:t>competency exam</w:t>
      </w:r>
      <w:r w:rsidR="00F0661A">
        <w:rPr>
          <w:rFonts w:ascii="Arial" w:hAnsi="Arial" w:cs="Arial"/>
          <w:sz w:val="18"/>
          <w:szCs w:val="18"/>
        </w:rPr>
        <w:t xml:space="preserve"> credits</w:t>
      </w:r>
      <w:r w:rsidR="00F0661A" w:rsidRPr="00854DD9">
        <w:rPr>
          <w:rFonts w:ascii="Arial" w:hAnsi="Arial" w:cs="Arial"/>
          <w:sz w:val="18"/>
          <w:szCs w:val="18"/>
        </w:rPr>
        <w:t xml:space="preserve"> and </w:t>
      </w:r>
      <w:r w:rsidR="00F0661A">
        <w:rPr>
          <w:rFonts w:ascii="Arial" w:hAnsi="Arial" w:cs="Arial"/>
          <w:sz w:val="18"/>
          <w:szCs w:val="18"/>
        </w:rPr>
        <w:t>on-line</w:t>
      </w:r>
      <w:r w:rsidR="00F0661A" w:rsidRPr="00854DD9">
        <w:rPr>
          <w:rFonts w:ascii="Arial" w:hAnsi="Arial" w:cs="Arial"/>
          <w:sz w:val="18"/>
          <w:szCs w:val="18"/>
        </w:rPr>
        <w:t xml:space="preserve"> </w:t>
      </w:r>
      <w:r w:rsidR="00F0661A">
        <w:rPr>
          <w:rFonts w:ascii="Arial" w:hAnsi="Arial" w:cs="Arial"/>
          <w:sz w:val="18"/>
          <w:szCs w:val="18"/>
        </w:rPr>
        <w:t>credits</w:t>
      </w:r>
      <w:r w:rsidR="00F0661A" w:rsidRPr="00854DD9">
        <w:rPr>
          <w:rFonts w:ascii="Arial" w:hAnsi="Arial" w:cs="Arial"/>
          <w:sz w:val="18"/>
          <w:szCs w:val="18"/>
        </w:rPr>
        <w:t xml:space="preserve"> taken by non-resident students.</w:t>
      </w:r>
    </w:p>
    <w:p w:rsidR="00B953F0" w:rsidRDefault="00B953F0">
      <w:pPr>
        <w:rPr>
          <w:rFonts w:ascii="Arial" w:hAnsi="Arial" w:cs="Arial"/>
          <w:sz w:val="22"/>
          <w:szCs w:val="22"/>
        </w:rPr>
      </w:pPr>
    </w:p>
    <w:p w:rsidR="00F64325" w:rsidRDefault="00874600">
      <w:pPr>
        <w:rPr>
          <w:rFonts w:ascii="Arial" w:hAnsi="Arial" w:cs="Arial"/>
          <w:sz w:val="22"/>
          <w:szCs w:val="22"/>
        </w:rPr>
      </w:pPr>
      <w:r>
        <w:rPr>
          <w:rFonts w:ascii="Arial" w:hAnsi="Arial" w:cs="Arial"/>
          <w:sz w:val="22"/>
          <w:szCs w:val="22"/>
        </w:rPr>
        <w:t xml:space="preserve">Undergraduate headcount </w:t>
      </w:r>
      <w:r w:rsidR="009F1F10">
        <w:rPr>
          <w:rFonts w:ascii="Arial" w:hAnsi="Arial" w:cs="Arial"/>
          <w:sz w:val="22"/>
          <w:szCs w:val="22"/>
        </w:rPr>
        <w:t>is down about 4</w:t>
      </w:r>
      <w:r w:rsidR="003C0DDB">
        <w:rPr>
          <w:rFonts w:ascii="Arial" w:hAnsi="Arial" w:cs="Arial"/>
          <w:sz w:val="22"/>
          <w:szCs w:val="22"/>
        </w:rPr>
        <w:t xml:space="preserve">%, while credits </w:t>
      </w:r>
      <w:r w:rsidR="009F1F10">
        <w:rPr>
          <w:rFonts w:ascii="Arial" w:hAnsi="Arial" w:cs="Arial"/>
          <w:sz w:val="22"/>
          <w:szCs w:val="22"/>
        </w:rPr>
        <w:t>are down 6</w:t>
      </w:r>
      <w:r w:rsidR="003C0DDB">
        <w:rPr>
          <w:rFonts w:ascii="Arial" w:hAnsi="Arial" w:cs="Arial"/>
          <w:sz w:val="22"/>
          <w:szCs w:val="22"/>
        </w:rPr>
        <w:t xml:space="preserve">% </w:t>
      </w:r>
      <w:r>
        <w:rPr>
          <w:rFonts w:ascii="Arial" w:hAnsi="Arial" w:cs="Arial"/>
          <w:sz w:val="22"/>
          <w:szCs w:val="22"/>
        </w:rPr>
        <w:t>and FYES</w:t>
      </w:r>
      <w:r w:rsidR="003C0DDB">
        <w:rPr>
          <w:rFonts w:ascii="Arial" w:hAnsi="Arial" w:cs="Arial"/>
          <w:sz w:val="22"/>
          <w:szCs w:val="22"/>
        </w:rPr>
        <w:t xml:space="preserve"> </w:t>
      </w:r>
      <w:r w:rsidR="009F1F10">
        <w:rPr>
          <w:rFonts w:ascii="Arial" w:hAnsi="Arial" w:cs="Arial"/>
          <w:sz w:val="22"/>
          <w:szCs w:val="22"/>
        </w:rPr>
        <w:t>4</w:t>
      </w:r>
      <w:r w:rsidR="003C0DDB">
        <w:rPr>
          <w:rFonts w:ascii="Arial" w:hAnsi="Arial" w:cs="Arial"/>
          <w:sz w:val="22"/>
          <w:szCs w:val="22"/>
        </w:rPr>
        <w:t>%.</w:t>
      </w:r>
      <w:r>
        <w:rPr>
          <w:rFonts w:ascii="Arial" w:hAnsi="Arial" w:cs="Arial"/>
          <w:sz w:val="22"/>
          <w:szCs w:val="22"/>
        </w:rPr>
        <w:t xml:space="preserve">  </w:t>
      </w:r>
      <w:r w:rsidR="00F72E1D">
        <w:rPr>
          <w:rFonts w:ascii="Arial" w:hAnsi="Arial" w:cs="Arial"/>
          <w:sz w:val="22"/>
          <w:szCs w:val="22"/>
        </w:rPr>
        <w:t>C</w:t>
      </w:r>
      <w:r>
        <w:rPr>
          <w:rFonts w:ascii="Arial" w:hAnsi="Arial" w:cs="Arial"/>
          <w:sz w:val="22"/>
          <w:szCs w:val="22"/>
        </w:rPr>
        <w:t xml:space="preserve">ompetency credits are not included in the </w:t>
      </w:r>
      <w:r w:rsidR="00F64325">
        <w:rPr>
          <w:rFonts w:ascii="Arial" w:hAnsi="Arial" w:cs="Arial"/>
          <w:sz w:val="22"/>
          <w:szCs w:val="22"/>
        </w:rPr>
        <w:t xml:space="preserve">calculation of </w:t>
      </w:r>
      <w:r>
        <w:rPr>
          <w:rFonts w:ascii="Arial" w:hAnsi="Arial" w:cs="Arial"/>
          <w:sz w:val="22"/>
          <w:szCs w:val="22"/>
        </w:rPr>
        <w:t xml:space="preserve">FYES </w:t>
      </w:r>
      <w:r w:rsidR="003C0DDB">
        <w:rPr>
          <w:rFonts w:ascii="Arial" w:hAnsi="Arial" w:cs="Arial"/>
          <w:sz w:val="22"/>
          <w:szCs w:val="22"/>
        </w:rPr>
        <w:t xml:space="preserve">so the </w:t>
      </w:r>
      <w:r w:rsidR="00486505">
        <w:rPr>
          <w:rFonts w:ascii="Arial" w:hAnsi="Arial" w:cs="Arial"/>
          <w:sz w:val="22"/>
          <w:szCs w:val="22"/>
        </w:rPr>
        <w:t>de</w:t>
      </w:r>
      <w:r w:rsidR="00F72E1D">
        <w:rPr>
          <w:rFonts w:ascii="Arial" w:hAnsi="Arial" w:cs="Arial"/>
          <w:sz w:val="22"/>
          <w:szCs w:val="22"/>
        </w:rPr>
        <w:t xml:space="preserve">crease in credits </w:t>
      </w:r>
      <w:r w:rsidR="003C0DDB">
        <w:rPr>
          <w:rFonts w:ascii="Arial" w:hAnsi="Arial" w:cs="Arial"/>
          <w:sz w:val="22"/>
          <w:szCs w:val="22"/>
        </w:rPr>
        <w:t>i</w:t>
      </w:r>
      <w:r w:rsidR="00F72E1D">
        <w:rPr>
          <w:rFonts w:ascii="Arial" w:hAnsi="Arial" w:cs="Arial"/>
          <w:sz w:val="22"/>
          <w:szCs w:val="22"/>
        </w:rPr>
        <w:t xml:space="preserve">s greater than the </w:t>
      </w:r>
      <w:r w:rsidR="00486505">
        <w:rPr>
          <w:rFonts w:ascii="Arial" w:hAnsi="Arial" w:cs="Arial"/>
          <w:sz w:val="22"/>
          <w:szCs w:val="22"/>
        </w:rPr>
        <w:t>de</w:t>
      </w:r>
      <w:r w:rsidR="00F72E1D">
        <w:rPr>
          <w:rFonts w:ascii="Arial" w:hAnsi="Arial" w:cs="Arial"/>
          <w:sz w:val="22"/>
          <w:szCs w:val="22"/>
        </w:rPr>
        <w:t>crease in FYES</w:t>
      </w:r>
      <w:r>
        <w:rPr>
          <w:rFonts w:ascii="Arial" w:hAnsi="Arial" w:cs="Arial"/>
          <w:sz w:val="22"/>
          <w:szCs w:val="22"/>
        </w:rPr>
        <w:t xml:space="preserve">.  </w:t>
      </w:r>
      <w:r w:rsidR="00F64325">
        <w:rPr>
          <w:rFonts w:ascii="Arial" w:hAnsi="Arial" w:cs="Arial"/>
          <w:sz w:val="22"/>
          <w:szCs w:val="22"/>
        </w:rPr>
        <w:t>In this case, t</w:t>
      </w:r>
      <w:r>
        <w:rPr>
          <w:rFonts w:ascii="Arial" w:hAnsi="Arial" w:cs="Arial"/>
          <w:sz w:val="22"/>
          <w:szCs w:val="22"/>
        </w:rPr>
        <w:t xml:space="preserve">he FYES number is a better indication of how enrollment compares to last year.  </w:t>
      </w:r>
    </w:p>
    <w:p w:rsidR="00F64325" w:rsidRDefault="00F64325">
      <w:pPr>
        <w:rPr>
          <w:rFonts w:ascii="Arial" w:hAnsi="Arial" w:cs="Arial"/>
          <w:sz w:val="22"/>
          <w:szCs w:val="22"/>
        </w:rPr>
      </w:pPr>
    </w:p>
    <w:p w:rsidR="00486505" w:rsidRDefault="00486505">
      <w:pPr>
        <w:rPr>
          <w:rFonts w:ascii="Arial" w:hAnsi="Arial" w:cs="Arial"/>
          <w:sz w:val="22"/>
          <w:szCs w:val="22"/>
        </w:rPr>
      </w:pPr>
      <w:r>
        <w:rPr>
          <w:rFonts w:ascii="Arial" w:hAnsi="Arial" w:cs="Arial"/>
          <w:sz w:val="22"/>
          <w:szCs w:val="22"/>
        </w:rPr>
        <w:t xml:space="preserve">Graduate enrollment is down across </w:t>
      </w:r>
      <w:r w:rsidR="008330C3">
        <w:rPr>
          <w:rFonts w:ascii="Arial" w:hAnsi="Arial" w:cs="Arial"/>
          <w:sz w:val="22"/>
          <w:szCs w:val="22"/>
        </w:rPr>
        <w:t xml:space="preserve">headcount, credits and FYES, mostly due to </w:t>
      </w:r>
      <w:r w:rsidR="00263192">
        <w:rPr>
          <w:rFonts w:ascii="Arial" w:hAnsi="Arial" w:cs="Arial"/>
          <w:sz w:val="22"/>
          <w:szCs w:val="22"/>
        </w:rPr>
        <w:t>a</w:t>
      </w:r>
      <w:r w:rsidR="008330C3">
        <w:rPr>
          <w:rFonts w:ascii="Arial" w:hAnsi="Arial" w:cs="Arial"/>
          <w:sz w:val="22"/>
          <w:szCs w:val="22"/>
        </w:rPr>
        <w:t xml:space="preserve"> 24% drop in returning students</w:t>
      </w:r>
      <w:r w:rsidR="00E947A2">
        <w:rPr>
          <w:rFonts w:ascii="Arial" w:hAnsi="Arial" w:cs="Arial"/>
          <w:sz w:val="22"/>
          <w:szCs w:val="22"/>
        </w:rPr>
        <w:t>, from 1,186 in 2010 to 903</w:t>
      </w:r>
      <w:r>
        <w:rPr>
          <w:rFonts w:ascii="Arial" w:hAnsi="Arial" w:cs="Arial"/>
          <w:sz w:val="22"/>
          <w:szCs w:val="22"/>
        </w:rPr>
        <w:t>.</w:t>
      </w:r>
      <w:r w:rsidR="00263192">
        <w:rPr>
          <w:rFonts w:ascii="Arial" w:hAnsi="Arial" w:cs="Arial"/>
          <w:sz w:val="22"/>
          <w:szCs w:val="22"/>
        </w:rPr>
        <w:t xml:space="preserve">  This was to be expected because new graduate student enrollment was down in both </w:t>
      </w:r>
      <w:proofErr w:type="gramStart"/>
      <w:r w:rsidR="00263192">
        <w:rPr>
          <w:rFonts w:ascii="Arial" w:hAnsi="Arial" w:cs="Arial"/>
          <w:sz w:val="22"/>
          <w:szCs w:val="22"/>
        </w:rPr>
        <w:t>Fall</w:t>
      </w:r>
      <w:proofErr w:type="gramEnd"/>
      <w:r w:rsidR="00263192">
        <w:rPr>
          <w:rFonts w:ascii="Arial" w:hAnsi="Arial" w:cs="Arial"/>
          <w:sz w:val="22"/>
          <w:szCs w:val="22"/>
        </w:rPr>
        <w:t xml:space="preserve"> 2010 and Winter 2011.</w:t>
      </w:r>
    </w:p>
    <w:p w:rsidR="00486505" w:rsidRDefault="00486505">
      <w:pPr>
        <w:rPr>
          <w:rFonts w:ascii="Arial" w:hAnsi="Arial" w:cs="Arial"/>
          <w:sz w:val="22"/>
          <w:szCs w:val="22"/>
        </w:rPr>
      </w:pPr>
    </w:p>
    <w:p w:rsidR="00B953F0" w:rsidRDefault="00F64325">
      <w:pPr>
        <w:rPr>
          <w:rFonts w:ascii="Arial" w:hAnsi="Arial" w:cs="Arial"/>
          <w:sz w:val="22"/>
          <w:szCs w:val="22"/>
        </w:rPr>
      </w:pPr>
      <w:r>
        <w:rPr>
          <w:rFonts w:ascii="Arial" w:hAnsi="Arial" w:cs="Arial"/>
          <w:sz w:val="22"/>
          <w:szCs w:val="22"/>
        </w:rPr>
        <w:t xml:space="preserve">There is a one-time blip in the in the summer data because the count date for the S07 part-of-term, which usually falls in the second half of the semester, was in the first half in 2011. </w:t>
      </w:r>
      <w:r w:rsidR="00486505">
        <w:rPr>
          <w:rFonts w:ascii="Arial" w:hAnsi="Arial" w:cs="Arial"/>
          <w:sz w:val="22"/>
          <w:szCs w:val="22"/>
        </w:rPr>
        <w:t xml:space="preserve">The counts for the second half of the summer semester decreased by 882 credits (36 FYES) </w:t>
      </w:r>
      <w:r w:rsidR="0003279C">
        <w:rPr>
          <w:rFonts w:ascii="Arial" w:hAnsi="Arial" w:cs="Arial"/>
          <w:sz w:val="22"/>
          <w:szCs w:val="22"/>
        </w:rPr>
        <w:t xml:space="preserve">S07 </w:t>
      </w:r>
      <w:r w:rsidR="00263192">
        <w:rPr>
          <w:rFonts w:ascii="Arial" w:hAnsi="Arial" w:cs="Arial"/>
          <w:sz w:val="22"/>
          <w:szCs w:val="22"/>
        </w:rPr>
        <w:t>will re</w:t>
      </w:r>
      <w:r>
        <w:rPr>
          <w:rFonts w:ascii="Arial" w:hAnsi="Arial" w:cs="Arial"/>
          <w:sz w:val="22"/>
          <w:szCs w:val="22"/>
        </w:rPr>
        <w:t xml:space="preserve">turn to the second half in 2012, so </w:t>
      </w:r>
      <w:r w:rsidR="0003279C">
        <w:rPr>
          <w:rFonts w:ascii="Arial" w:hAnsi="Arial" w:cs="Arial"/>
          <w:sz w:val="22"/>
          <w:szCs w:val="22"/>
        </w:rPr>
        <w:t>it</w:t>
      </w:r>
      <w:r>
        <w:rPr>
          <w:rFonts w:ascii="Arial" w:hAnsi="Arial" w:cs="Arial"/>
          <w:sz w:val="22"/>
          <w:szCs w:val="22"/>
        </w:rPr>
        <w:t xml:space="preserve"> will not be included in any FY12 counts.</w:t>
      </w:r>
      <w:r w:rsidR="00FE56A0">
        <w:rPr>
          <w:rFonts w:ascii="Arial" w:hAnsi="Arial" w:cs="Arial"/>
          <w:sz w:val="22"/>
          <w:szCs w:val="22"/>
        </w:rPr>
        <w:t xml:space="preserve">  </w:t>
      </w:r>
    </w:p>
    <w:p w:rsidR="00FE56A0" w:rsidRDefault="00FE56A0">
      <w:pPr>
        <w:rPr>
          <w:rFonts w:ascii="Arial" w:hAnsi="Arial" w:cs="Arial"/>
          <w:sz w:val="22"/>
          <w:szCs w:val="22"/>
        </w:rPr>
      </w:pPr>
    </w:p>
    <w:p w:rsidR="008330C3" w:rsidRDefault="008330C3">
      <w:pPr>
        <w:rPr>
          <w:rFonts w:ascii="Arial" w:hAnsi="Arial" w:cs="Arial"/>
          <w:b/>
          <w:sz w:val="22"/>
          <w:szCs w:val="22"/>
        </w:rPr>
      </w:pPr>
    </w:p>
    <w:p w:rsidR="008330C3" w:rsidRDefault="008330C3">
      <w:pPr>
        <w:rPr>
          <w:rFonts w:ascii="Arial" w:hAnsi="Arial" w:cs="Arial"/>
          <w:b/>
          <w:sz w:val="22"/>
          <w:szCs w:val="22"/>
        </w:rPr>
      </w:pPr>
    </w:p>
    <w:p w:rsidR="008330C3" w:rsidRDefault="008330C3">
      <w:pPr>
        <w:rPr>
          <w:rFonts w:ascii="Arial" w:hAnsi="Arial" w:cs="Arial"/>
          <w:b/>
          <w:sz w:val="22"/>
          <w:szCs w:val="22"/>
        </w:rPr>
      </w:pPr>
    </w:p>
    <w:p w:rsidR="00FE56A0" w:rsidRPr="00FE56A0" w:rsidRDefault="00FE56A0">
      <w:pPr>
        <w:rPr>
          <w:rFonts w:ascii="Arial" w:hAnsi="Arial" w:cs="Arial"/>
          <w:b/>
          <w:sz w:val="22"/>
          <w:szCs w:val="22"/>
        </w:rPr>
      </w:pPr>
      <w:r w:rsidRPr="00D2564E">
        <w:rPr>
          <w:rFonts w:ascii="Arial" w:hAnsi="Arial" w:cs="Arial"/>
          <w:b/>
          <w:sz w:val="22"/>
          <w:szCs w:val="22"/>
        </w:rPr>
        <w:lastRenderedPageBreak/>
        <w:t>Table II:  ‘</w:t>
      </w:r>
      <w:proofErr w:type="gramStart"/>
      <w:r w:rsidRPr="00D2564E">
        <w:rPr>
          <w:rFonts w:ascii="Arial" w:hAnsi="Arial" w:cs="Arial"/>
          <w:b/>
          <w:sz w:val="22"/>
          <w:szCs w:val="22"/>
        </w:rPr>
        <w:t>S</w:t>
      </w:r>
      <w:r>
        <w:rPr>
          <w:rFonts w:ascii="Arial" w:hAnsi="Arial" w:cs="Arial"/>
          <w:b/>
          <w:sz w:val="22"/>
          <w:szCs w:val="22"/>
        </w:rPr>
        <w:t>umm</w:t>
      </w:r>
      <w:r w:rsidR="00486505">
        <w:rPr>
          <w:rFonts w:ascii="Arial" w:hAnsi="Arial" w:cs="Arial"/>
          <w:b/>
          <w:sz w:val="22"/>
          <w:szCs w:val="22"/>
        </w:rPr>
        <w:t>e</w:t>
      </w:r>
      <w:r>
        <w:rPr>
          <w:rFonts w:ascii="Arial" w:hAnsi="Arial" w:cs="Arial"/>
          <w:b/>
          <w:sz w:val="22"/>
          <w:szCs w:val="22"/>
        </w:rPr>
        <w:t>r</w:t>
      </w:r>
      <w:proofErr w:type="gramEnd"/>
      <w:r w:rsidRPr="00D2564E">
        <w:rPr>
          <w:rFonts w:ascii="Arial" w:hAnsi="Arial" w:cs="Arial"/>
          <w:b/>
          <w:sz w:val="22"/>
          <w:szCs w:val="22"/>
        </w:rPr>
        <w:t>’ New Student Enrollment</w:t>
      </w:r>
    </w:p>
    <w:p w:rsidR="0055593A" w:rsidRPr="00047A63" w:rsidRDefault="00A80993" w:rsidP="00047A63">
      <w:pPr>
        <w:rPr>
          <w:rFonts w:ascii="Arial" w:hAnsi="Arial" w:cs="Arial"/>
          <w:sz w:val="22"/>
          <w:szCs w:val="22"/>
        </w:rPr>
      </w:pPr>
      <w:r w:rsidRPr="002239EC">
        <w:rPr>
          <w:rFonts w:ascii="Arial" w:hAnsi="Arial" w:cs="Arial"/>
          <w:sz w:val="22"/>
          <w:szCs w:val="22"/>
        </w:rPr>
        <w:object w:dxaOrig="8706" w:dyaOrig="1731">
          <v:shape id="_x0000_i1026" type="#_x0000_t75" style="width:435pt;height:86.25pt" o:ole="">
            <v:imagedata r:id="rId10" o:title=""/>
          </v:shape>
          <o:OLEObject Type="Embed" ProgID="Excel.Sheet.12" ShapeID="_x0000_i1026" DrawAspect="Content" ObjectID="_1375604036" r:id="rId11"/>
        </w:object>
      </w:r>
      <w:proofErr w:type="gramStart"/>
      <w:r w:rsidR="0055593A" w:rsidRPr="00854DD9">
        <w:rPr>
          <w:rFonts w:ascii="Arial" w:hAnsi="Arial" w:cs="Arial"/>
          <w:sz w:val="18"/>
          <w:szCs w:val="18"/>
        </w:rPr>
        <w:t>*  New</w:t>
      </w:r>
      <w:proofErr w:type="gramEnd"/>
      <w:r w:rsidR="0055593A" w:rsidRPr="00854DD9">
        <w:rPr>
          <w:rFonts w:ascii="Arial" w:hAnsi="Arial" w:cs="Arial"/>
          <w:sz w:val="18"/>
          <w:szCs w:val="18"/>
        </w:rPr>
        <w:t xml:space="preserve"> Transfers include Second UG Degree Students</w:t>
      </w:r>
    </w:p>
    <w:p w:rsidR="0055593A" w:rsidRPr="00854DD9" w:rsidRDefault="0055593A">
      <w:pPr>
        <w:rPr>
          <w:rFonts w:ascii="Arial" w:hAnsi="Arial" w:cs="Arial"/>
          <w:sz w:val="18"/>
          <w:szCs w:val="18"/>
        </w:rPr>
      </w:pPr>
      <w:r w:rsidRPr="00854DD9">
        <w:rPr>
          <w:rFonts w:ascii="Arial" w:hAnsi="Arial" w:cs="Arial"/>
          <w:sz w:val="18"/>
          <w:szCs w:val="18"/>
        </w:rPr>
        <w:t>**New Other UG includes Post Bachelor, College Guest, and Non-Matriculated students</w:t>
      </w:r>
    </w:p>
    <w:p w:rsidR="00210A9A" w:rsidRDefault="00210A9A">
      <w:pPr>
        <w:rPr>
          <w:rFonts w:ascii="Arial" w:hAnsi="Arial" w:cs="Arial"/>
          <w:sz w:val="22"/>
          <w:szCs w:val="22"/>
        </w:rPr>
      </w:pPr>
    </w:p>
    <w:p w:rsidR="008330C3" w:rsidRDefault="00486505" w:rsidP="00874600">
      <w:pPr>
        <w:rPr>
          <w:rFonts w:ascii="Arial" w:hAnsi="Arial" w:cs="Arial"/>
          <w:sz w:val="22"/>
          <w:szCs w:val="22"/>
        </w:rPr>
      </w:pPr>
      <w:r>
        <w:rPr>
          <w:rFonts w:ascii="Arial" w:hAnsi="Arial" w:cs="Arial"/>
          <w:sz w:val="22"/>
          <w:szCs w:val="22"/>
        </w:rPr>
        <w:t xml:space="preserve">New undergraduate enrollment was down 8%.  Returning student enrollment is also down, by 4%.  Some of the drop was expected because enrollment of both new and returning undergraduates was up significantly in </w:t>
      </w:r>
      <w:proofErr w:type="gramStart"/>
      <w:r w:rsidR="00263192">
        <w:rPr>
          <w:rFonts w:ascii="Arial" w:hAnsi="Arial" w:cs="Arial"/>
          <w:sz w:val="22"/>
          <w:szCs w:val="22"/>
        </w:rPr>
        <w:t>Summer</w:t>
      </w:r>
      <w:proofErr w:type="gramEnd"/>
      <w:r w:rsidR="00263192">
        <w:rPr>
          <w:rFonts w:ascii="Arial" w:hAnsi="Arial" w:cs="Arial"/>
          <w:sz w:val="22"/>
          <w:szCs w:val="22"/>
        </w:rPr>
        <w:t xml:space="preserve"> </w:t>
      </w:r>
      <w:r>
        <w:rPr>
          <w:rFonts w:ascii="Arial" w:hAnsi="Arial" w:cs="Arial"/>
          <w:sz w:val="22"/>
          <w:szCs w:val="22"/>
        </w:rPr>
        <w:t>2010.</w:t>
      </w:r>
      <w:r w:rsidR="0003279C">
        <w:rPr>
          <w:rFonts w:ascii="Arial" w:hAnsi="Arial" w:cs="Arial"/>
          <w:sz w:val="22"/>
          <w:szCs w:val="22"/>
        </w:rPr>
        <w:t xml:space="preserve">  </w:t>
      </w:r>
      <w:r w:rsidR="008330C3">
        <w:rPr>
          <w:rFonts w:ascii="Arial" w:hAnsi="Arial" w:cs="Arial"/>
          <w:sz w:val="22"/>
          <w:szCs w:val="22"/>
        </w:rPr>
        <w:t xml:space="preserve">Overall new graduate student enrollment is flat, but new master’s students are up, which is good news for potential returning students in the fall.  </w:t>
      </w:r>
    </w:p>
    <w:p w:rsidR="00486505" w:rsidRDefault="00486505" w:rsidP="00874600">
      <w:pPr>
        <w:rPr>
          <w:rFonts w:ascii="Arial" w:hAnsi="Arial" w:cs="Arial"/>
          <w:sz w:val="22"/>
          <w:szCs w:val="22"/>
        </w:rPr>
      </w:pPr>
    </w:p>
    <w:p w:rsidR="009042DC" w:rsidRDefault="009042DC" w:rsidP="009042DC">
      <w:pPr>
        <w:rPr>
          <w:rFonts w:ascii="Arial" w:hAnsi="Arial" w:cs="Arial"/>
          <w:sz w:val="22"/>
          <w:szCs w:val="22"/>
        </w:rPr>
      </w:pPr>
      <w:r>
        <w:rPr>
          <w:rFonts w:ascii="Arial" w:hAnsi="Arial" w:cs="Arial"/>
          <w:sz w:val="22"/>
          <w:szCs w:val="22"/>
        </w:rPr>
        <w:t xml:space="preserve">Below is the </w:t>
      </w:r>
      <w:r w:rsidR="00B54B50">
        <w:rPr>
          <w:rFonts w:ascii="Arial" w:hAnsi="Arial" w:cs="Arial"/>
          <w:sz w:val="22"/>
          <w:szCs w:val="22"/>
        </w:rPr>
        <w:t>S</w:t>
      </w:r>
      <w:r w:rsidR="00486505">
        <w:rPr>
          <w:rFonts w:ascii="Arial" w:hAnsi="Arial" w:cs="Arial"/>
          <w:sz w:val="22"/>
          <w:szCs w:val="22"/>
        </w:rPr>
        <w:t>umm</w:t>
      </w:r>
      <w:r w:rsidR="008330C3">
        <w:rPr>
          <w:rFonts w:ascii="Arial" w:hAnsi="Arial" w:cs="Arial"/>
          <w:sz w:val="22"/>
          <w:szCs w:val="22"/>
        </w:rPr>
        <w:t>e</w:t>
      </w:r>
      <w:r w:rsidR="00486505">
        <w:rPr>
          <w:rFonts w:ascii="Arial" w:hAnsi="Arial" w:cs="Arial"/>
          <w:sz w:val="22"/>
          <w:szCs w:val="22"/>
        </w:rPr>
        <w:t>r</w:t>
      </w:r>
      <w:r w:rsidR="00B54B50">
        <w:rPr>
          <w:rFonts w:ascii="Arial" w:hAnsi="Arial" w:cs="Arial"/>
          <w:sz w:val="22"/>
          <w:szCs w:val="22"/>
        </w:rPr>
        <w:t xml:space="preserve"> II</w:t>
      </w:r>
      <w:r>
        <w:rPr>
          <w:rFonts w:ascii="Arial" w:hAnsi="Arial" w:cs="Arial"/>
          <w:sz w:val="22"/>
          <w:szCs w:val="22"/>
        </w:rPr>
        <w:t xml:space="preserve"> session enrollment by part-of-term.  Headcount in this table is duplicated, so students enrolled in more than one part-of-term in the </w:t>
      </w:r>
      <w:r w:rsidR="00263192">
        <w:rPr>
          <w:rFonts w:ascii="Arial" w:hAnsi="Arial" w:cs="Arial"/>
          <w:sz w:val="22"/>
          <w:szCs w:val="22"/>
        </w:rPr>
        <w:t>summer</w:t>
      </w:r>
      <w:r>
        <w:rPr>
          <w:rFonts w:ascii="Arial" w:hAnsi="Arial" w:cs="Arial"/>
          <w:sz w:val="22"/>
          <w:szCs w:val="22"/>
        </w:rPr>
        <w:t xml:space="preserve"> session are counted in each </w:t>
      </w:r>
      <w:proofErr w:type="spellStart"/>
      <w:r>
        <w:rPr>
          <w:rFonts w:ascii="Arial" w:hAnsi="Arial" w:cs="Arial"/>
          <w:sz w:val="22"/>
          <w:szCs w:val="22"/>
        </w:rPr>
        <w:t>PoT</w:t>
      </w:r>
      <w:proofErr w:type="spellEnd"/>
      <w:r>
        <w:rPr>
          <w:rFonts w:ascii="Arial" w:hAnsi="Arial" w:cs="Arial"/>
          <w:sz w:val="22"/>
          <w:szCs w:val="22"/>
        </w:rPr>
        <w:t xml:space="preserve"> count.  Most of the enrollment is in the </w:t>
      </w:r>
      <w:r w:rsidR="00486505">
        <w:rPr>
          <w:rFonts w:ascii="Arial" w:hAnsi="Arial" w:cs="Arial"/>
          <w:sz w:val="22"/>
          <w:szCs w:val="22"/>
        </w:rPr>
        <w:t xml:space="preserve">8-week </w:t>
      </w:r>
      <w:r>
        <w:rPr>
          <w:rFonts w:ascii="Arial" w:hAnsi="Arial" w:cs="Arial"/>
          <w:sz w:val="22"/>
          <w:szCs w:val="22"/>
        </w:rPr>
        <w:t>part-of-term.</w:t>
      </w:r>
    </w:p>
    <w:p w:rsidR="009042DC" w:rsidRDefault="009042DC" w:rsidP="009042DC">
      <w:pPr>
        <w:rPr>
          <w:rFonts w:ascii="Arial" w:hAnsi="Arial" w:cs="Arial"/>
          <w:sz w:val="22"/>
          <w:szCs w:val="22"/>
        </w:rPr>
      </w:pPr>
    </w:p>
    <w:p w:rsidR="00185F37" w:rsidRDefault="009042DC" w:rsidP="00874600">
      <w:pPr>
        <w:rPr>
          <w:rFonts w:ascii="Arial" w:hAnsi="Arial" w:cs="Arial"/>
          <w:sz w:val="22"/>
        </w:rPr>
      </w:pPr>
      <w:r>
        <w:rPr>
          <w:rFonts w:ascii="Arial" w:hAnsi="Arial" w:cs="Arial"/>
          <w:b/>
          <w:sz w:val="22"/>
          <w:szCs w:val="22"/>
        </w:rPr>
        <w:t xml:space="preserve">Table III: </w:t>
      </w:r>
      <w:r w:rsidRPr="006C2725">
        <w:rPr>
          <w:rFonts w:ascii="Arial" w:hAnsi="Arial" w:cs="Arial"/>
          <w:b/>
          <w:sz w:val="22"/>
          <w:szCs w:val="22"/>
        </w:rPr>
        <w:t>S</w:t>
      </w:r>
      <w:r>
        <w:rPr>
          <w:rFonts w:ascii="Arial" w:hAnsi="Arial" w:cs="Arial"/>
          <w:b/>
          <w:sz w:val="22"/>
          <w:szCs w:val="22"/>
        </w:rPr>
        <w:t>ummer</w:t>
      </w:r>
      <w:r w:rsidR="00A80993">
        <w:rPr>
          <w:rFonts w:ascii="Arial" w:hAnsi="Arial" w:cs="Arial"/>
          <w:b/>
          <w:sz w:val="22"/>
          <w:szCs w:val="22"/>
        </w:rPr>
        <w:t xml:space="preserve"> II</w:t>
      </w:r>
      <w:r w:rsidRPr="006C2725">
        <w:rPr>
          <w:rFonts w:ascii="Arial" w:hAnsi="Arial" w:cs="Arial"/>
          <w:b/>
          <w:sz w:val="22"/>
          <w:szCs w:val="22"/>
        </w:rPr>
        <w:t xml:space="preserve"> </w:t>
      </w:r>
      <w:r>
        <w:rPr>
          <w:rFonts w:ascii="Arial" w:hAnsi="Arial" w:cs="Arial"/>
          <w:b/>
          <w:sz w:val="22"/>
          <w:szCs w:val="22"/>
        </w:rPr>
        <w:t>P</w:t>
      </w:r>
      <w:r w:rsidRPr="006C2725">
        <w:rPr>
          <w:rFonts w:ascii="Arial" w:hAnsi="Arial" w:cs="Arial"/>
          <w:b/>
          <w:sz w:val="22"/>
          <w:szCs w:val="22"/>
        </w:rPr>
        <w:t>arts-of-term</w:t>
      </w:r>
    </w:p>
    <w:p w:rsidR="00F64325" w:rsidRDefault="00954E85" w:rsidP="008330C3">
      <w:pPr>
        <w:rPr>
          <w:rFonts w:ascii="Arial" w:hAnsi="Arial" w:cs="Arial"/>
          <w:b/>
          <w:sz w:val="22"/>
          <w:szCs w:val="22"/>
        </w:rPr>
      </w:pPr>
      <w:r w:rsidRPr="008675B0">
        <w:rPr>
          <w:rFonts w:ascii="Arial" w:hAnsi="Arial" w:cs="Arial"/>
          <w:bCs/>
          <w:color w:val="000000"/>
          <w:sz w:val="18"/>
          <w:szCs w:val="18"/>
        </w:rPr>
        <w:object w:dxaOrig="8905" w:dyaOrig="2387">
          <v:shape id="_x0000_i1027" type="#_x0000_t75" style="width:445.5pt;height:119.25pt" o:ole="">
            <v:imagedata r:id="rId12" o:title=""/>
          </v:shape>
          <o:OLEObject Type="Embed" ProgID="Excel.Sheet.12" ShapeID="_x0000_i1027" DrawAspect="Content" ObjectID="_1375604037" r:id="rId13"/>
        </w:object>
      </w:r>
    </w:p>
    <w:p w:rsidR="0003279C" w:rsidRDefault="0003279C" w:rsidP="00F64325">
      <w:pPr>
        <w:jc w:val="center"/>
        <w:rPr>
          <w:rFonts w:ascii="Arial" w:hAnsi="Arial" w:cs="Arial"/>
          <w:b/>
          <w:sz w:val="22"/>
          <w:szCs w:val="22"/>
        </w:rPr>
      </w:pPr>
    </w:p>
    <w:p w:rsidR="008330C3" w:rsidRPr="003F647E" w:rsidRDefault="008330C3" w:rsidP="00F64325">
      <w:pPr>
        <w:jc w:val="center"/>
        <w:rPr>
          <w:rFonts w:ascii="Arial" w:hAnsi="Arial" w:cs="Arial"/>
          <w:b/>
          <w:sz w:val="22"/>
          <w:szCs w:val="22"/>
        </w:rPr>
      </w:pPr>
      <w:r w:rsidRPr="003F647E">
        <w:rPr>
          <w:rFonts w:ascii="Arial" w:hAnsi="Arial" w:cs="Arial"/>
          <w:b/>
          <w:sz w:val="22"/>
          <w:szCs w:val="22"/>
        </w:rPr>
        <w:t>The Whole Picture:  Total Summer 2011 Enrollment</w:t>
      </w:r>
    </w:p>
    <w:p w:rsidR="008330C3" w:rsidRPr="00E124AC" w:rsidRDefault="008330C3" w:rsidP="008330C3">
      <w:pPr>
        <w:rPr>
          <w:rFonts w:ascii="Arial" w:hAnsi="Arial" w:cs="Arial"/>
          <w:sz w:val="22"/>
          <w:szCs w:val="22"/>
        </w:rPr>
      </w:pPr>
      <w:r>
        <w:rPr>
          <w:rFonts w:ascii="Arial" w:hAnsi="Arial" w:cs="Arial"/>
          <w:sz w:val="22"/>
          <w:szCs w:val="22"/>
        </w:rPr>
        <w:t xml:space="preserve">This changed very little </w:t>
      </w:r>
      <w:r w:rsidR="00C5474E">
        <w:rPr>
          <w:rFonts w:ascii="Arial" w:hAnsi="Arial" w:cs="Arial"/>
          <w:sz w:val="22"/>
          <w:szCs w:val="22"/>
        </w:rPr>
        <w:t>between early July and the final count.</w:t>
      </w:r>
      <w:r>
        <w:rPr>
          <w:rFonts w:ascii="Arial" w:hAnsi="Arial" w:cs="Arial"/>
          <w:sz w:val="22"/>
          <w:szCs w:val="22"/>
        </w:rPr>
        <w:t xml:space="preserve"> The combined total enrollment for the summer semester is down about 3.5%.</w:t>
      </w:r>
      <w:r w:rsidR="00263192">
        <w:rPr>
          <w:rFonts w:ascii="Arial" w:hAnsi="Arial" w:cs="Arial"/>
          <w:sz w:val="22"/>
          <w:szCs w:val="22"/>
        </w:rPr>
        <w:t xml:space="preserve">  </w:t>
      </w:r>
      <w:r>
        <w:rPr>
          <w:rFonts w:ascii="Arial" w:hAnsi="Arial" w:cs="Arial"/>
          <w:sz w:val="22"/>
          <w:szCs w:val="22"/>
        </w:rPr>
        <w:t xml:space="preserve">Undergraduate headcount is down slightly, while credits and FYES are up about 1%.  Graduate headcount is down about 11%, while credits </w:t>
      </w:r>
      <w:r w:rsidR="00C5474E">
        <w:rPr>
          <w:rFonts w:ascii="Arial" w:hAnsi="Arial" w:cs="Arial"/>
          <w:sz w:val="22"/>
          <w:szCs w:val="22"/>
        </w:rPr>
        <w:t xml:space="preserve">are down almost 7% </w:t>
      </w:r>
      <w:r>
        <w:rPr>
          <w:rFonts w:ascii="Arial" w:hAnsi="Arial" w:cs="Arial"/>
          <w:sz w:val="22"/>
          <w:szCs w:val="22"/>
        </w:rPr>
        <w:t xml:space="preserve">and FYES are down </w:t>
      </w:r>
      <w:r w:rsidR="00C5474E">
        <w:rPr>
          <w:rFonts w:ascii="Arial" w:hAnsi="Arial" w:cs="Arial"/>
          <w:sz w:val="22"/>
          <w:szCs w:val="22"/>
        </w:rPr>
        <w:t xml:space="preserve">a bit </w:t>
      </w:r>
      <w:r>
        <w:rPr>
          <w:rFonts w:ascii="Arial" w:hAnsi="Arial" w:cs="Arial"/>
          <w:sz w:val="22"/>
          <w:szCs w:val="22"/>
        </w:rPr>
        <w:t xml:space="preserve">over 6%.  </w:t>
      </w:r>
      <w:r w:rsidR="00263192">
        <w:rPr>
          <w:rFonts w:ascii="Arial" w:hAnsi="Arial" w:cs="Arial"/>
          <w:sz w:val="22"/>
          <w:szCs w:val="22"/>
        </w:rPr>
        <w:t xml:space="preserve">Students who enrolled in both halves of the summer semester are counted separately in the headcount of each </w:t>
      </w:r>
      <w:proofErr w:type="gramStart"/>
      <w:r w:rsidR="00263192">
        <w:rPr>
          <w:rFonts w:ascii="Arial" w:hAnsi="Arial" w:cs="Arial"/>
          <w:sz w:val="22"/>
          <w:szCs w:val="22"/>
        </w:rPr>
        <w:t>session,</w:t>
      </w:r>
      <w:proofErr w:type="gramEnd"/>
      <w:r w:rsidR="00263192">
        <w:rPr>
          <w:rFonts w:ascii="Arial" w:hAnsi="Arial" w:cs="Arial"/>
          <w:sz w:val="22"/>
          <w:szCs w:val="22"/>
        </w:rPr>
        <w:t xml:space="preserve"> however the credits and FYES are unduplicated.</w:t>
      </w:r>
    </w:p>
    <w:p w:rsidR="0062325B" w:rsidRDefault="0062325B" w:rsidP="00874600">
      <w:pPr>
        <w:rPr>
          <w:rFonts w:ascii="Arial" w:hAnsi="Arial" w:cs="Arial"/>
          <w:sz w:val="22"/>
        </w:rPr>
      </w:pPr>
    </w:p>
    <w:p w:rsidR="001E76C6" w:rsidRPr="00C5474E" w:rsidRDefault="00C5474E" w:rsidP="00874600">
      <w:pPr>
        <w:rPr>
          <w:rFonts w:ascii="Arial" w:hAnsi="Arial" w:cs="Arial"/>
          <w:b/>
          <w:sz w:val="22"/>
          <w:szCs w:val="22"/>
        </w:rPr>
      </w:pPr>
      <w:r w:rsidRPr="00E124AC">
        <w:rPr>
          <w:rFonts w:ascii="Arial" w:hAnsi="Arial" w:cs="Arial"/>
          <w:b/>
          <w:sz w:val="22"/>
          <w:szCs w:val="22"/>
        </w:rPr>
        <w:t xml:space="preserve">Table </w:t>
      </w:r>
      <w:r>
        <w:rPr>
          <w:rFonts w:ascii="Arial" w:hAnsi="Arial" w:cs="Arial"/>
          <w:b/>
          <w:sz w:val="22"/>
          <w:szCs w:val="22"/>
        </w:rPr>
        <w:t>I</w:t>
      </w:r>
      <w:r w:rsidRPr="00E124AC">
        <w:rPr>
          <w:rFonts w:ascii="Arial" w:hAnsi="Arial" w:cs="Arial"/>
          <w:b/>
          <w:sz w:val="22"/>
          <w:szCs w:val="22"/>
        </w:rPr>
        <w:t>V:  Total Summer Semester 2011 Enrollment</w:t>
      </w:r>
    </w:p>
    <w:p w:rsidR="008330C3" w:rsidRDefault="00954E85" w:rsidP="00874600">
      <w:pPr>
        <w:rPr>
          <w:rFonts w:ascii="Arial" w:hAnsi="Arial" w:cs="Arial"/>
          <w:sz w:val="22"/>
          <w:szCs w:val="22"/>
        </w:rPr>
      </w:pPr>
      <w:r w:rsidRPr="008675B0">
        <w:rPr>
          <w:rFonts w:ascii="Arial" w:hAnsi="Arial" w:cs="Arial"/>
          <w:sz w:val="22"/>
          <w:szCs w:val="22"/>
        </w:rPr>
        <w:object w:dxaOrig="8697" w:dyaOrig="1979">
          <v:shape id="_x0000_i1028" type="#_x0000_t75" style="width:435pt;height:99pt" o:ole="">
            <v:imagedata r:id="rId14" o:title=""/>
          </v:shape>
          <o:OLEObject Type="Embed" ProgID="Excel.Sheet.12" ShapeID="_x0000_i1028" DrawAspect="Content" ObjectID="_1375604038" r:id="rId15"/>
        </w:object>
      </w:r>
    </w:p>
    <w:p w:rsidR="00E27023" w:rsidRPr="005048D9" w:rsidRDefault="00E27023" w:rsidP="00874600">
      <w:pPr>
        <w:rPr>
          <w:rFonts w:ascii="Arial" w:hAnsi="Arial" w:cs="Arial"/>
          <w:sz w:val="22"/>
          <w:szCs w:val="22"/>
        </w:rPr>
      </w:pPr>
      <w:r>
        <w:rPr>
          <w:rFonts w:ascii="Arial" w:hAnsi="Arial" w:cs="Arial"/>
          <w:sz w:val="22"/>
          <w:szCs w:val="22"/>
        </w:rPr>
        <w:lastRenderedPageBreak/>
        <w:t>The combined new student counts presented below are also unduplicated.</w:t>
      </w:r>
    </w:p>
    <w:p w:rsidR="001E76C6" w:rsidRDefault="001E76C6" w:rsidP="00874600">
      <w:pPr>
        <w:rPr>
          <w:rFonts w:ascii="Arial" w:hAnsi="Arial" w:cs="Arial"/>
          <w:sz w:val="22"/>
          <w:szCs w:val="22"/>
        </w:rPr>
      </w:pPr>
    </w:p>
    <w:p w:rsidR="00C5474E" w:rsidRDefault="00C5474E" w:rsidP="00874600">
      <w:pPr>
        <w:rPr>
          <w:rFonts w:ascii="Arial" w:hAnsi="Arial" w:cs="Arial"/>
          <w:sz w:val="22"/>
          <w:szCs w:val="22"/>
        </w:rPr>
      </w:pPr>
      <w:r w:rsidRPr="00E124AC">
        <w:rPr>
          <w:rFonts w:ascii="Arial" w:hAnsi="Arial" w:cs="Arial"/>
          <w:b/>
          <w:sz w:val="22"/>
          <w:szCs w:val="22"/>
        </w:rPr>
        <w:t xml:space="preserve">Table V:  Total Summer New Student Enrollment </w:t>
      </w:r>
    </w:p>
    <w:p w:rsidR="00C5474E" w:rsidRDefault="00954E85" w:rsidP="00874600">
      <w:pPr>
        <w:rPr>
          <w:rFonts w:ascii="Arial" w:hAnsi="Arial" w:cs="Arial"/>
          <w:sz w:val="22"/>
          <w:szCs w:val="22"/>
        </w:rPr>
      </w:pPr>
      <w:r w:rsidRPr="002C5B61">
        <w:rPr>
          <w:rFonts w:ascii="Arial" w:hAnsi="Arial" w:cs="Arial"/>
          <w:sz w:val="22"/>
          <w:szCs w:val="22"/>
        </w:rPr>
        <w:object w:dxaOrig="8769" w:dyaOrig="1717">
          <v:shape id="_x0000_i1029" type="#_x0000_t75" style="width:438.75pt;height:85.5pt" o:ole="">
            <v:imagedata r:id="rId16" o:title=""/>
          </v:shape>
          <o:OLEObject Type="Embed" ProgID="Excel.Sheet.12" ShapeID="_x0000_i1029" DrawAspect="Content" ObjectID="_1375604039" r:id="rId17"/>
        </w:object>
      </w:r>
    </w:p>
    <w:p w:rsidR="00C5474E" w:rsidRPr="003F647E" w:rsidRDefault="00C5474E" w:rsidP="00C5474E">
      <w:pPr>
        <w:rPr>
          <w:rFonts w:ascii="Arial" w:hAnsi="Arial" w:cs="Arial"/>
          <w:sz w:val="22"/>
          <w:szCs w:val="22"/>
        </w:rPr>
      </w:pPr>
      <w:r>
        <w:rPr>
          <w:rFonts w:ascii="Arial" w:hAnsi="Arial" w:cs="Arial"/>
          <w:sz w:val="22"/>
          <w:szCs w:val="22"/>
        </w:rPr>
        <w:t xml:space="preserve">The summer 2011 enrollment is not as strong as </w:t>
      </w:r>
      <w:r w:rsidR="007A1BB8">
        <w:rPr>
          <w:rFonts w:ascii="Arial" w:hAnsi="Arial" w:cs="Arial"/>
          <w:sz w:val="22"/>
          <w:szCs w:val="22"/>
        </w:rPr>
        <w:t>last year</w:t>
      </w:r>
      <w:r>
        <w:rPr>
          <w:rFonts w:ascii="Arial" w:hAnsi="Arial" w:cs="Arial"/>
          <w:sz w:val="22"/>
          <w:szCs w:val="22"/>
        </w:rPr>
        <w:t xml:space="preserve">, but summer enrollment has traditionally </w:t>
      </w:r>
      <w:r w:rsidR="007A1BB8">
        <w:rPr>
          <w:rFonts w:ascii="Arial" w:hAnsi="Arial" w:cs="Arial"/>
          <w:sz w:val="22"/>
          <w:szCs w:val="22"/>
        </w:rPr>
        <w:t>been</w:t>
      </w:r>
      <w:r>
        <w:rPr>
          <w:rFonts w:ascii="Arial" w:hAnsi="Arial" w:cs="Arial"/>
          <w:sz w:val="22"/>
          <w:szCs w:val="22"/>
        </w:rPr>
        <w:t xml:space="preserve"> more variable from year to year than enrollment in the fall and winter.  Enrollment in both sessions in 2010 was high compared to prior years, and at the time </w:t>
      </w:r>
      <w:r w:rsidR="007A1BB8">
        <w:rPr>
          <w:rFonts w:ascii="Arial" w:hAnsi="Arial" w:cs="Arial"/>
          <w:sz w:val="22"/>
          <w:szCs w:val="22"/>
        </w:rPr>
        <w:t>the strong enrollment was considered to be related to a</w:t>
      </w:r>
      <w:r>
        <w:rPr>
          <w:rFonts w:ascii="Arial" w:hAnsi="Arial" w:cs="Arial"/>
          <w:sz w:val="22"/>
          <w:szCs w:val="22"/>
        </w:rPr>
        <w:t xml:space="preserve"> lack of summer jobs.  The </w:t>
      </w:r>
      <w:r w:rsidR="007A1BB8">
        <w:rPr>
          <w:rFonts w:ascii="Arial" w:hAnsi="Arial" w:cs="Arial"/>
          <w:sz w:val="22"/>
          <w:szCs w:val="22"/>
        </w:rPr>
        <w:t xml:space="preserve">slight </w:t>
      </w:r>
      <w:r>
        <w:rPr>
          <w:rFonts w:ascii="Arial" w:hAnsi="Arial" w:cs="Arial"/>
          <w:sz w:val="22"/>
          <w:szCs w:val="22"/>
        </w:rPr>
        <w:t xml:space="preserve">decrease in </w:t>
      </w:r>
      <w:r w:rsidR="007A1BB8">
        <w:rPr>
          <w:rFonts w:ascii="Arial" w:hAnsi="Arial" w:cs="Arial"/>
          <w:sz w:val="22"/>
          <w:szCs w:val="22"/>
        </w:rPr>
        <w:t xml:space="preserve">undergraduate </w:t>
      </w:r>
      <w:r>
        <w:rPr>
          <w:rFonts w:ascii="Arial" w:hAnsi="Arial" w:cs="Arial"/>
          <w:sz w:val="22"/>
          <w:szCs w:val="22"/>
        </w:rPr>
        <w:t xml:space="preserve">enrollment this year may be </w:t>
      </w:r>
      <w:r w:rsidR="007A1BB8">
        <w:rPr>
          <w:rFonts w:ascii="Arial" w:hAnsi="Arial" w:cs="Arial"/>
          <w:sz w:val="22"/>
          <w:szCs w:val="22"/>
        </w:rPr>
        <w:t xml:space="preserve">a result of an improvement in the </w:t>
      </w:r>
      <w:r>
        <w:rPr>
          <w:rFonts w:ascii="Arial" w:hAnsi="Arial" w:cs="Arial"/>
          <w:sz w:val="22"/>
          <w:szCs w:val="22"/>
        </w:rPr>
        <w:t>summer employment</w:t>
      </w:r>
      <w:r w:rsidR="007A1BB8">
        <w:rPr>
          <w:rFonts w:ascii="Arial" w:hAnsi="Arial" w:cs="Arial"/>
          <w:sz w:val="22"/>
          <w:szCs w:val="22"/>
        </w:rPr>
        <w:t xml:space="preserve"> picture</w:t>
      </w:r>
      <w:r>
        <w:rPr>
          <w:rFonts w:ascii="Arial" w:hAnsi="Arial" w:cs="Arial"/>
          <w:sz w:val="22"/>
          <w:szCs w:val="22"/>
        </w:rPr>
        <w:t xml:space="preserve">.  At the graduate level, the factors behind the continued low enrollment are more complex, but probably include the continuing weakness in the demand for teacher education.   </w:t>
      </w:r>
    </w:p>
    <w:p w:rsidR="00C5474E" w:rsidRDefault="00C5474E" w:rsidP="00874600">
      <w:pPr>
        <w:rPr>
          <w:rFonts w:ascii="Arial" w:hAnsi="Arial" w:cs="Arial"/>
          <w:sz w:val="22"/>
        </w:rPr>
      </w:pPr>
    </w:p>
    <w:p w:rsidR="009E399C" w:rsidRDefault="009E399C" w:rsidP="009E399C">
      <w:pPr>
        <w:rPr>
          <w:rFonts w:ascii="Arial" w:hAnsi="Arial" w:cs="Arial"/>
          <w:sz w:val="22"/>
        </w:rPr>
      </w:pPr>
      <w:r>
        <w:rPr>
          <w:rFonts w:ascii="Arial" w:hAnsi="Arial" w:cs="Arial"/>
          <w:sz w:val="22"/>
        </w:rPr>
        <w:t xml:space="preserve">The tables on the following pages compare the number of courses offered and enrollment by department for </w:t>
      </w:r>
      <w:r w:rsidR="00B54B50">
        <w:rPr>
          <w:rFonts w:ascii="Arial" w:hAnsi="Arial" w:cs="Arial"/>
          <w:sz w:val="22"/>
        </w:rPr>
        <w:t>S</w:t>
      </w:r>
      <w:r>
        <w:rPr>
          <w:rFonts w:ascii="Arial" w:hAnsi="Arial" w:cs="Arial"/>
          <w:sz w:val="22"/>
        </w:rPr>
        <w:t xml:space="preserve">ummer </w:t>
      </w:r>
      <w:r w:rsidR="00B54B50">
        <w:rPr>
          <w:rFonts w:ascii="Arial" w:hAnsi="Arial" w:cs="Arial"/>
          <w:sz w:val="22"/>
        </w:rPr>
        <w:t xml:space="preserve">II </w:t>
      </w:r>
      <w:r>
        <w:rPr>
          <w:rFonts w:ascii="Arial" w:hAnsi="Arial" w:cs="Arial"/>
          <w:sz w:val="22"/>
        </w:rPr>
        <w:t xml:space="preserve">session and the full summer semester.  </w:t>
      </w:r>
      <w:r w:rsidR="0003279C">
        <w:rPr>
          <w:rFonts w:ascii="Arial" w:hAnsi="Arial" w:cs="Arial"/>
          <w:sz w:val="22"/>
        </w:rPr>
        <w:t>A</w:t>
      </w:r>
      <w:r>
        <w:rPr>
          <w:rFonts w:ascii="Arial" w:hAnsi="Arial" w:cs="Arial"/>
          <w:sz w:val="22"/>
        </w:rPr>
        <w:t xml:space="preserve"> rev</w:t>
      </w:r>
      <w:r w:rsidR="0003279C">
        <w:rPr>
          <w:rFonts w:ascii="Arial" w:hAnsi="Arial" w:cs="Arial"/>
          <w:sz w:val="22"/>
        </w:rPr>
        <w:t>iew of offerings and enrollment indicates</w:t>
      </w:r>
      <w:r>
        <w:rPr>
          <w:rFonts w:ascii="Arial" w:hAnsi="Arial" w:cs="Arial"/>
          <w:sz w:val="22"/>
        </w:rPr>
        <w:t xml:space="preserve"> that there is not a direct relationship between the number of courses offered and the number of students and credits enrolled.   In some cases, enrollment increases when the number of courses is the same or less, and </w:t>
      </w:r>
      <w:r w:rsidR="00E947A2">
        <w:rPr>
          <w:rFonts w:ascii="Arial" w:hAnsi="Arial" w:cs="Arial"/>
          <w:sz w:val="22"/>
        </w:rPr>
        <w:t xml:space="preserve">then </w:t>
      </w:r>
      <w:r>
        <w:rPr>
          <w:rFonts w:ascii="Arial" w:hAnsi="Arial" w:cs="Arial"/>
          <w:sz w:val="22"/>
        </w:rPr>
        <w:t xml:space="preserve">in </w:t>
      </w:r>
      <w:r w:rsidR="00E947A2">
        <w:rPr>
          <w:rFonts w:ascii="Arial" w:hAnsi="Arial" w:cs="Arial"/>
          <w:sz w:val="22"/>
        </w:rPr>
        <w:t>other</w:t>
      </w:r>
      <w:r>
        <w:rPr>
          <w:rFonts w:ascii="Arial" w:hAnsi="Arial" w:cs="Arial"/>
          <w:sz w:val="22"/>
        </w:rPr>
        <w:t xml:space="preserve"> cases increased offerings yield fewer enrollments.  The </w:t>
      </w:r>
      <w:r w:rsidR="0003279C">
        <w:rPr>
          <w:rFonts w:ascii="Arial" w:hAnsi="Arial" w:cs="Arial"/>
          <w:sz w:val="22"/>
        </w:rPr>
        <w:t xml:space="preserve">apparent </w:t>
      </w:r>
      <w:r>
        <w:rPr>
          <w:rFonts w:ascii="Arial" w:hAnsi="Arial" w:cs="Arial"/>
          <w:sz w:val="22"/>
        </w:rPr>
        <w:t xml:space="preserve">challenge is to offer a mix of courses </w:t>
      </w:r>
      <w:r w:rsidR="0003279C">
        <w:rPr>
          <w:rFonts w:ascii="Arial" w:hAnsi="Arial" w:cs="Arial"/>
          <w:sz w:val="22"/>
        </w:rPr>
        <w:t xml:space="preserve">that </w:t>
      </w:r>
      <w:r>
        <w:rPr>
          <w:rFonts w:ascii="Arial" w:hAnsi="Arial" w:cs="Arial"/>
          <w:sz w:val="22"/>
        </w:rPr>
        <w:t xml:space="preserve">meet student needs </w:t>
      </w:r>
      <w:r w:rsidR="0003279C">
        <w:rPr>
          <w:rFonts w:ascii="Arial" w:hAnsi="Arial" w:cs="Arial"/>
          <w:sz w:val="22"/>
        </w:rPr>
        <w:t xml:space="preserve">and </w:t>
      </w:r>
      <w:r>
        <w:rPr>
          <w:rFonts w:ascii="Arial" w:hAnsi="Arial" w:cs="Arial"/>
          <w:sz w:val="22"/>
        </w:rPr>
        <w:t>demand.</w:t>
      </w:r>
    </w:p>
    <w:p w:rsidR="00745AD5" w:rsidRDefault="00745AD5" w:rsidP="009E399C">
      <w:pPr>
        <w:rPr>
          <w:rFonts w:ascii="Arial" w:hAnsi="Arial" w:cs="Arial"/>
          <w:sz w:val="22"/>
        </w:rPr>
      </w:pPr>
    </w:p>
    <w:p w:rsidR="009E399C" w:rsidRDefault="009E399C"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745AD5" w:rsidRDefault="00745AD5" w:rsidP="00874600">
      <w:pPr>
        <w:rPr>
          <w:rFonts w:ascii="Arial" w:hAnsi="Arial" w:cs="Arial"/>
          <w:sz w:val="22"/>
        </w:rPr>
      </w:pPr>
    </w:p>
    <w:p w:rsidR="00343C15" w:rsidRPr="00343C15" w:rsidRDefault="0011535C" w:rsidP="00874600">
      <w:pPr>
        <w:rPr>
          <w:rFonts w:ascii="Arial" w:hAnsi="Arial" w:cs="Arial"/>
          <w:b/>
          <w:sz w:val="22"/>
        </w:rPr>
      </w:pPr>
      <w:r>
        <w:rPr>
          <w:rFonts w:ascii="Arial" w:hAnsi="Arial" w:cs="Arial"/>
          <w:b/>
          <w:sz w:val="22"/>
        </w:rPr>
        <w:lastRenderedPageBreak/>
        <w:t xml:space="preserve">Table VI: </w:t>
      </w:r>
      <w:r w:rsidR="00343C15">
        <w:rPr>
          <w:rFonts w:ascii="Arial" w:hAnsi="Arial" w:cs="Arial"/>
          <w:b/>
          <w:sz w:val="22"/>
        </w:rPr>
        <w:t>Summer II</w:t>
      </w:r>
      <w:r>
        <w:rPr>
          <w:rFonts w:ascii="Arial" w:hAnsi="Arial" w:cs="Arial"/>
          <w:b/>
          <w:sz w:val="22"/>
        </w:rPr>
        <w:t xml:space="preserve"> Section Counts</w:t>
      </w:r>
    </w:p>
    <w:p w:rsidR="00745AD5" w:rsidRDefault="006E28F0" w:rsidP="00874600">
      <w:pPr>
        <w:rPr>
          <w:rFonts w:ascii="Arial" w:hAnsi="Arial" w:cs="Arial"/>
          <w:sz w:val="22"/>
        </w:rPr>
      </w:pPr>
      <w:r w:rsidRPr="00555D6A">
        <w:rPr>
          <w:rFonts w:ascii="Arial" w:hAnsi="Arial" w:cs="Arial"/>
          <w:sz w:val="22"/>
        </w:rPr>
        <w:object w:dxaOrig="9691" w:dyaOrig="10390">
          <v:shape id="_x0000_i1030" type="#_x0000_t75" style="width:483.75pt;height:519.75pt" o:ole="">
            <v:imagedata r:id="rId18" o:title=""/>
          </v:shape>
          <o:OLEObject Type="Embed" ProgID="Excel.Sheet.12" ShapeID="_x0000_i1030" DrawAspect="Content" ObjectID="_1375604040" r:id="rId19"/>
        </w:object>
      </w:r>
    </w:p>
    <w:p w:rsidR="00343C15" w:rsidRDefault="00343C15" w:rsidP="00874600">
      <w:pPr>
        <w:rPr>
          <w:rFonts w:ascii="Arial" w:hAnsi="Arial" w:cs="Arial"/>
          <w:sz w:val="22"/>
        </w:rPr>
      </w:pPr>
    </w:p>
    <w:p w:rsidR="00343C15" w:rsidRDefault="00343C15" w:rsidP="00874600">
      <w:pPr>
        <w:rPr>
          <w:rFonts w:ascii="Arial" w:hAnsi="Arial" w:cs="Arial"/>
          <w:sz w:val="22"/>
        </w:rPr>
      </w:pPr>
    </w:p>
    <w:p w:rsidR="00343C15" w:rsidRDefault="00343C15" w:rsidP="00874600">
      <w:pPr>
        <w:rPr>
          <w:rFonts w:ascii="Arial" w:hAnsi="Arial" w:cs="Arial"/>
          <w:sz w:val="22"/>
        </w:rPr>
      </w:pPr>
    </w:p>
    <w:p w:rsidR="00343C15" w:rsidRDefault="00343C15" w:rsidP="00874600">
      <w:pPr>
        <w:rPr>
          <w:rFonts w:ascii="Arial" w:hAnsi="Arial" w:cs="Arial"/>
          <w:sz w:val="22"/>
        </w:rPr>
      </w:pPr>
    </w:p>
    <w:p w:rsidR="00343C15" w:rsidRDefault="00343C15" w:rsidP="00874600">
      <w:pPr>
        <w:rPr>
          <w:rFonts w:ascii="Arial" w:hAnsi="Arial" w:cs="Arial"/>
          <w:sz w:val="22"/>
        </w:rPr>
      </w:pPr>
    </w:p>
    <w:p w:rsidR="00343C15" w:rsidRDefault="006E28F0" w:rsidP="00874600">
      <w:pPr>
        <w:rPr>
          <w:rFonts w:ascii="Arial" w:hAnsi="Arial" w:cs="Arial"/>
          <w:sz w:val="22"/>
        </w:rPr>
      </w:pPr>
      <w:r w:rsidRPr="00555D6A">
        <w:rPr>
          <w:rFonts w:ascii="Arial" w:hAnsi="Arial" w:cs="Arial"/>
          <w:sz w:val="22"/>
        </w:rPr>
        <w:object w:dxaOrig="9691" w:dyaOrig="8993">
          <v:shape id="_x0000_i1031" type="#_x0000_t75" style="width:484.5pt;height:450pt" o:ole="">
            <v:imagedata r:id="rId20" o:title=""/>
          </v:shape>
          <o:OLEObject Type="Embed" ProgID="Excel.Sheet.12" ShapeID="_x0000_i1031" DrawAspect="Content" ObjectID="_1375604041" r:id="rId21"/>
        </w:object>
      </w:r>
    </w:p>
    <w:p w:rsidR="00954E85" w:rsidRDefault="00954E85" w:rsidP="00874600">
      <w:pPr>
        <w:rPr>
          <w:rFonts w:ascii="Arial" w:hAnsi="Arial" w:cs="Arial"/>
          <w:sz w:val="22"/>
        </w:rPr>
      </w:pPr>
    </w:p>
    <w:p w:rsidR="00954E85" w:rsidRDefault="00954E85" w:rsidP="00874600">
      <w:pPr>
        <w:rPr>
          <w:rFonts w:ascii="Arial" w:hAnsi="Arial" w:cs="Arial"/>
          <w:sz w:val="22"/>
        </w:rPr>
      </w:pPr>
    </w:p>
    <w:p w:rsidR="00954E85" w:rsidRDefault="00954E85" w:rsidP="00874600">
      <w:pPr>
        <w:rPr>
          <w:rFonts w:ascii="Arial" w:hAnsi="Arial" w:cs="Arial"/>
          <w:sz w:val="22"/>
        </w:rPr>
      </w:pPr>
    </w:p>
    <w:p w:rsidR="00954E85" w:rsidRDefault="00954E85" w:rsidP="00874600">
      <w:pPr>
        <w:rPr>
          <w:rFonts w:ascii="Arial" w:hAnsi="Arial" w:cs="Arial"/>
          <w:sz w:val="22"/>
        </w:rPr>
      </w:pPr>
    </w:p>
    <w:p w:rsidR="006E28F0" w:rsidRDefault="006E28F0" w:rsidP="00874600">
      <w:pPr>
        <w:rPr>
          <w:rFonts w:ascii="Arial" w:hAnsi="Arial" w:cs="Arial"/>
          <w:sz w:val="22"/>
        </w:rPr>
      </w:pPr>
    </w:p>
    <w:p w:rsidR="006E28F0" w:rsidRDefault="006E28F0" w:rsidP="00874600">
      <w:pPr>
        <w:rPr>
          <w:rFonts w:ascii="Arial" w:hAnsi="Arial" w:cs="Arial"/>
          <w:sz w:val="22"/>
        </w:rPr>
      </w:pPr>
    </w:p>
    <w:p w:rsidR="006E28F0" w:rsidRDefault="006E28F0" w:rsidP="00874600">
      <w:pPr>
        <w:rPr>
          <w:rFonts w:ascii="Arial" w:hAnsi="Arial" w:cs="Arial"/>
          <w:sz w:val="22"/>
        </w:rPr>
      </w:pPr>
    </w:p>
    <w:p w:rsidR="006E28F0" w:rsidRDefault="006E28F0" w:rsidP="00874600">
      <w:pPr>
        <w:rPr>
          <w:rFonts w:ascii="Arial" w:hAnsi="Arial" w:cs="Arial"/>
          <w:sz w:val="22"/>
        </w:rPr>
      </w:pPr>
    </w:p>
    <w:p w:rsidR="006E28F0" w:rsidRDefault="006E28F0" w:rsidP="00874600">
      <w:pPr>
        <w:rPr>
          <w:rFonts w:ascii="Arial" w:hAnsi="Arial" w:cs="Arial"/>
          <w:sz w:val="22"/>
        </w:rPr>
      </w:pPr>
    </w:p>
    <w:p w:rsidR="006E28F0" w:rsidRDefault="006E28F0" w:rsidP="00874600">
      <w:pPr>
        <w:rPr>
          <w:rFonts w:ascii="Arial" w:hAnsi="Arial" w:cs="Arial"/>
          <w:sz w:val="22"/>
        </w:rPr>
      </w:pPr>
    </w:p>
    <w:p w:rsidR="006E28F0" w:rsidRDefault="006E28F0" w:rsidP="00874600">
      <w:pPr>
        <w:rPr>
          <w:rFonts w:ascii="Arial" w:hAnsi="Arial" w:cs="Arial"/>
          <w:sz w:val="22"/>
        </w:rPr>
      </w:pPr>
    </w:p>
    <w:p w:rsidR="006E28F0" w:rsidRDefault="006E28F0" w:rsidP="00874600">
      <w:pPr>
        <w:rPr>
          <w:rFonts w:ascii="Arial" w:hAnsi="Arial" w:cs="Arial"/>
          <w:sz w:val="22"/>
        </w:rPr>
      </w:pPr>
    </w:p>
    <w:p w:rsidR="00954E85" w:rsidRDefault="00954E85" w:rsidP="00874600">
      <w:pPr>
        <w:rPr>
          <w:rFonts w:ascii="Arial" w:hAnsi="Arial" w:cs="Arial"/>
          <w:sz w:val="22"/>
        </w:rPr>
      </w:pPr>
    </w:p>
    <w:p w:rsidR="00954E85" w:rsidRDefault="00954E85" w:rsidP="00874600">
      <w:pPr>
        <w:rPr>
          <w:rFonts w:ascii="Arial" w:hAnsi="Arial" w:cs="Arial"/>
          <w:sz w:val="22"/>
        </w:rPr>
      </w:pPr>
    </w:p>
    <w:p w:rsidR="00954E85" w:rsidRDefault="0011535C" w:rsidP="00874600">
      <w:pPr>
        <w:rPr>
          <w:rFonts w:ascii="Arial" w:hAnsi="Arial" w:cs="Arial"/>
          <w:b/>
          <w:sz w:val="22"/>
        </w:rPr>
      </w:pPr>
      <w:r>
        <w:rPr>
          <w:rFonts w:ascii="Arial" w:hAnsi="Arial" w:cs="Arial"/>
          <w:b/>
          <w:sz w:val="22"/>
        </w:rPr>
        <w:lastRenderedPageBreak/>
        <w:t xml:space="preserve">Table VII:  </w:t>
      </w:r>
      <w:r w:rsidR="001509C0">
        <w:rPr>
          <w:rFonts w:ascii="Arial" w:hAnsi="Arial" w:cs="Arial"/>
          <w:b/>
          <w:sz w:val="22"/>
        </w:rPr>
        <w:t>Summer I &amp; II Total</w:t>
      </w:r>
      <w:r>
        <w:rPr>
          <w:rFonts w:ascii="Arial" w:hAnsi="Arial" w:cs="Arial"/>
          <w:b/>
          <w:sz w:val="22"/>
        </w:rPr>
        <w:t xml:space="preserve"> Section Count</w:t>
      </w:r>
      <w:r w:rsidR="00D47E8D">
        <w:rPr>
          <w:rFonts w:ascii="Arial" w:hAnsi="Arial" w:cs="Arial"/>
          <w:b/>
          <w:sz w:val="22"/>
        </w:rPr>
        <w:t>s</w:t>
      </w:r>
    </w:p>
    <w:p w:rsidR="00954E85" w:rsidRDefault="00D47E8D" w:rsidP="00874600">
      <w:pPr>
        <w:rPr>
          <w:rFonts w:ascii="Arial" w:hAnsi="Arial" w:cs="Arial"/>
          <w:b/>
          <w:sz w:val="22"/>
        </w:rPr>
      </w:pPr>
      <w:r w:rsidRPr="00555D6A">
        <w:rPr>
          <w:rFonts w:ascii="Arial" w:hAnsi="Arial" w:cs="Arial"/>
          <w:b/>
          <w:sz w:val="22"/>
        </w:rPr>
        <w:object w:dxaOrig="9691" w:dyaOrig="10606">
          <v:shape id="_x0000_i1032" type="#_x0000_t75" style="width:484.5pt;height:530.25pt" o:ole="">
            <v:imagedata r:id="rId22" o:title=""/>
          </v:shape>
          <o:OLEObject Type="Embed" ProgID="Excel.Sheet.12" ShapeID="_x0000_i1032" DrawAspect="Content" ObjectID="_1375604042" r:id="rId23"/>
        </w:object>
      </w:r>
    </w:p>
    <w:p w:rsidR="001509C0" w:rsidRDefault="001509C0" w:rsidP="00874600">
      <w:pPr>
        <w:rPr>
          <w:rFonts w:ascii="Arial" w:hAnsi="Arial" w:cs="Arial"/>
          <w:b/>
          <w:sz w:val="22"/>
        </w:rPr>
      </w:pPr>
    </w:p>
    <w:p w:rsidR="001509C0" w:rsidRDefault="001509C0" w:rsidP="00874600">
      <w:pPr>
        <w:rPr>
          <w:rFonts w:ascii="Arial" w:hAnsi="Arial" w:cs="Arial"/>
          <w:b/>
          <w:sz w:val="22"/>
        </w:rPr>
      </w:pPr>
    </w:p>
    <w:p w:rsidR="001509C0" w:rsidRDefault="001509C0" w:rsidP="00874600">
      <w:pPr>
        <w:rPr>
          <w:rFonts w:ascii="Arial" w:hAnsi="Arial" w:cs="Arial"/>
          <w:b/>
          <w:sz w:val="22"/>
        </w:rPr>
      </w:pPr>
    </w:p>
    <w:p w:rsidR="001509C0" w:rsidRPr="00954E85" w:rsidRDefault="006E28F0" w:rsidP="00874600">
      <w:pPr>
        <w:rPr>
          <w:rFonts w:ascii="Arial" w:hAnsi="Arial" w:cs="Arial"/>
          <w:b/>
          <w:sz w:val="22"/>
        </w:rPr>
      </w:pPr>
      <w:r w:rsidRPr="00555D6A">
        <w:rPr>
          <w:rFonts w:ascii="Arial" w:hAnsi="Arial" w:cs="Arial"/>
          <w:b/>
          <w:sz w:val="22"/>
        </w:rPr>
        <w:object w:dxaOrig="9499" w:dyaOrig="8863">
          <v:shape id="_x0000_i1033" type="#_x0000_t75" style="width:476.25pt;height:442.5pt" o:ole="">
            <v:imagedata r:id="rId24" o:title=""/>
          </v:shape>
          <o:OLEObject Type="Embed" ProgID="Excel.Sheet.12" ShapeID="_x0000_i1033" DrawAspect="Content" ObjectID="_1375604043" r:id="rId25"/>
        </w:object>
      </w:r>
    </w:p>
    <w:sectPr w:rsidR="001509C0" w:rsidRPr="00954E85" w:rsidSect="00941E93">
      <w:footerReference w:type="even" r:id="rId26"/>
      <w:footerReference w:type="default" r:id="rId27"/>
      <w:pgSz w:w="12240" w:h="15840" w:code="1"/>
      <w:pgMar w:top="1440" w:right="1800" w:bottom="1440" w:left="1800"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8F0" w:rsidRDefault="006E28F0">
      <w:r>
        <w:separator/>
      </w:r>
    </w:p>
  </w:endnote>
  <w:endnote w:type="continuationSeparator" w:id="0">
    <w:p w:rsidR="006E28F0" w:rsidRDefault="006E28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F0" w:rsidRDefault="00847C69">
    <w:pPr>
      <w:pStyle w:val="Footer"/>
      <w:framePr w:wrap="around" w:vAnchor="text" w:hAnchor="margin" w:xAlign="center" w:y="1"/>
      <w:rPr>
        <w:rStyle w:val="PageNumber"/>
      </w:rPr>
    </w:pPr>
    <w:r>
      <w:rPr>
        <w:rStyle w:val="PageNumber"/>
      </w:rPr>
      <w:fldChar w:fldCharType="begin"/>
    </w:r>
    <w:r w:rsidR="006E28F0">
      <w:rPr>
        <w:rStyle w:val="PageNumber"/>
      </w:rPr>
      <w:instrText xml:space="preserve">PAGE  </w:instrText>
    </w:r>
    <w:r>
      <w:rPr>
        <w:rStyle w:val="PageNumber"/>
      </w:rPr>
      <w:fldChar w:fldCharType="separate"/>
    </w:r>
    <w:r w:rsidR="006E28F0">
      <w:rPr>
        <w:rStyle w:val="PageNumber"/>
        <w:noProof/>
      </w:rPr>
      <w:t>1</w:t>
    </w:r>
    <w:r>
      <w:rPr>
        <w:rStyle w:val="PageNumber"/>
      </w:rPr>
      <w:fldChar w:fldCharType="end"/>
    </w:r>
  </w:p>
  <w:p w:rsidR="006E28F0" w:rsidRDefault="006E28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F0" w:rsidRDefault="00847C69">
    <w:pPr>
      <w:pStyle w:val="Footer"/>
      <w:framePr w:wrap="around" w:vAnchor="text" w:hAnchor="margin" w:xAlign="center" w:y="1"/>
      <w:rPr>
        <w:rStyle w:val="PageNumber"/>
      </w:rPr>
    </w:pPr>
    <w:r>
      <w:rPr>
        <w:rStyle w:val="PageNumber"/>
      </w:rPr>
      <w:fldChar w:fldCharType="begin"/>
    </w:r>
    <w:r w:rsidR="006E28F0">
      <w:rPr>
        <w:rStyle w:val="PageNumber"/>
      </w:rPr>
      <w:instrText xml:space="preserve">PAGE  </w:instrText>
    </w:r>
    <w:r>
      <w:rPr>
        <w:rStyle w:val="PageNumber"/>
      </w:rPr>
      <w:fldChar w:fldCharType="separate"/>
    </w:r>
    <w:r w:rsidR="00B54B50">
      <w:rPr>
        <w:rStyle w:val="PageNumber"/>
        <w:noProof/>
      </w:rPr>
      <w:t>2</w:t>
    </w:r>
    <w:r>
      <w:rPr>
        <w:rStyle w:val="PageNumber"/>
      </w:rPr>
      <w:fldChar w:fldCharType="end"/>
    </w:r>
  </w:p>
  <w:p w:rsidR="006E28F0" w:rsidRDefault="006E28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8F0" w:rsidRDefault="006E28F0">
      <w:r>
        <w:separator/>
      </w:r>
    </w:p>
  </w:footnote>
  <w:footnote w:type="continuationSeparator" w:id="0">
    <w:p w:rsidR="006E28F0" w:rsidRDefault="006E2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487F70"/>
    <w:lvl w:ilvl="0">
      <w:start w:val="1"/>
      <w:numFmt w:val="decimal"/>
      <w:lvlText w:val="%1."/>
      <w:lvlJc w:val="left"/>
      <w:pPr>
        <w:tabs>
          <w:tab w:val="num" w:pos="1800"/>
        </w:tabs>
        <w:ind w:left="1800" w:hanging="360"/>
      </w:pPr>
    </w:lvl>
  </w:abstractNum>
  <w:abstractNum w:abstractNumId="1">
    <w:nsid w:val="FFFFFF7D"/>
    <w:multiLevelType w:val="singleLevel"/>
    <w:tmpl w:val="CFC41D1E"/>
    <w:lvl w:ilvl="0">
      <w:start w:val="1"/>
      <w:numFmt w:val="decimal"/>
      <w:lvlText w:val="%1."/>
      <w:lvlJc w:val="left"/>
      <w:pPr>
        <w:tabs>
          <w:tab w:val="num" w:pos="1440"/>
        </w:tabs>
        <w:ind w:left="1440" w:hanging="360"/>
      </w:pPr>
    </w:lvl>
  </w:abstractNum>
  <w:abstractNum w:abstractNumId="2">
    <w:nsid w:val="FFFFFF7E"/>
    <w:multiLevelType w:val="singleLevel"/>
    <w:tmpl w:val="7444E548"/>
    <w:lvl w:ilvl="0">
      <w:start w:val="1"/>
      <w:numFmt w:val="decimal"/>
      <w:lvlText w:val="%1."/>
      <w:lvlJc w:val="left"/>
      <w:pPr>
        <w:tabs>
          <w:tab w:val="num" w:pos="1080"/>
        </w:tabs>
        <w:ind w:left="1080" w:hanging="360"/>
      </w:pPr>
    </w:lvl>
  </w:abstractNum>
  <w:abstractNum w:abstractNumId="3">
    <w:nsid w:val="FFFFFF7F"/>
    <w:multiLevelType w:val="singleLevel"/>
    <w:tmpl w:val="39BC5982"/>
    <w:lvl w:ilvl="0">
      <w:start w:val="1"/>
      <w:numFmt w:val="decimal"/>
      <w:lvlText w:val="%1."/>
      <w:lvlJc w:val="left"/>
      <w:pPr>
        <w:tabs>
          <w:tab w:val="num" w:pos="720"/>
        </w:tabs>
        <w:ind w:left="720" w:hanging="360"/>
      </w:pPr>
    </w:lvl>
  </w:abstractNum>
  <w:abstractNum w:abstractNumId="4">
    <w:nsid w:val="FFFFFF80"/>
    <w:multiLevelType w:val="singleLevel"/>
    <w:tmpl w:val="EBB88F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18C0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321F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3AE7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21A5B40"/>
    <w:lvl w:ilvl="0">
      <w:start w:val="1"/>
      <w:numFmt w:val="decimal"/>
      <w:lvlText w:val="%1."/>
      <w:lvlJc w:val="left"/>
      <w:pPr>
        <w:tabs>
          <w:tab w:val="num" w:pos="360"/>
        </w:tabs>
        <w:ind w:left="360" w:hanging="360"/>
      </w:pPr>
    </w:lvl>
  </w:abstractNum>
  <w:abstractNum w:abstractNumId="9">
    <w:nsid w:val="FFFFFF89"/>
    <w:multiLevelType w:val="singleLevel"/>
    <w:tmpl w:val="53461B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47206A"/>
    <w:rsid w:val="00022684"/>
    <w:rsid w:val="0003279C"/>
    <w:rsid w:val="00042996"/>
    <w:rsid w:val="00047A63"/>
    <w:rsid w:val="00057E6F"/>
    <w:rsid w:val="00063EDA"/>
    <w:rsid w:val="0007684C"/>
    <w:rsid w:val="00076D36"/>
    <w:rsid w:val="0008306C"/>
    <w:rsid w:val="000A1EC4"/>
    <w:rsid w:val="000A1F6B"/>
    <w:rsid w:val="000A7153"/>
    <w:rsid w:val="000E6EB7"/>
    <w:rsid w:val="000F504F"/>
    <w:rsid w:val="00107AD0"/>
    <w:rsid w:val="00110CF5"/>
    <w:rsid w:val="0011535C"/>
    <w:rsid w:val="00115AE5"/>
    <w:rsid w:val="00120041"/>
    <w:rsid w:val="0014671C"/>
    <w:rsid w:val="001509C0"/>
    <w:rsid w:val="0015221D"/>
    <w:rsid w:val="00160A9F"/>
    <w:rsid w:val="00181540"/>
    <w:rsid w:val="00185F37"/>
    <w:rsid w:val="00186659"/>
    <w:rsid w:val="00194E2E"/>
    <w:rsid w:val="001B6A04"/>
    <w:rsid w:val="001D3070"/>
    <w:rsid w:val="001D4E74"/>
    <w:rsid w:val="001D764A"/>
    <w:rsid w:val="001E76C6"/>
    <w:rsid w:val="001F0D75"/>
    <w:rsid w:val="00210A9A"/>
    <w:rsid w:val="002239EC"/>
    <w:rsid w:val="00224CD7"/>
    <w:rsid w:val="002253F4"/>
    <w:rsid w:val="002379BA"/>
    <w:rsid w:val="002427FA"/>
    <w:rsid w:val="0024529F"/>
    <w:rsid w:val="00245983"/>
    <w:rsid w:val="002534C3"/>
    <w:rsid w:val="002555FB"/>
    <w:rsid w:val="00263192"/>
    <w:rsid w:val="0027701D"/>
    <w:rsid w:val="002846F4"/>
    <w:rsid w:val="00284974"/>
    <w:rsid w:val="00287836"/>
    <w:rsid w:val="002A05ED"/>
    <w:rsid w:val="002A2606"/>
    <w:rsid w:val="002B6BA7"/>
    <w:rsid w:val="002C5B61"/>
    <w:rsid w:val="002D0759"/>
    <w:rsid w:val="002D2A70"/>
    <w:rsid w:val="002D6003"/>
    <w:rsid w:val="002D6398"/>
    <w:rsid w:val="002D76AE"/>
    <w:rsid w:val="002D77BF"/>
    <w:rsid w:val="002E50CB"/>
    <w:rsid w:val="002E5ED3"/>
    <w:rsid w:val="002F05EA"/>
    <w:rsid w:val="00305C09"/>
    <w:rsid w:val="00307691"/>
    <w:rsid w:val="0031099F"/>
    <w:rsid w:val="00312E3A"/>
    <w:rsid w:val="00321527"/>
    <w:rsid w:val="003236D3"/>
    <w:rsid w:val="003249CB"/>
    <w:rsid w:val="00325786"/>
    <w:rsid w:val="00333F81"/>
    <w:rsid w:val="003351A1"/>
    <w:rsid w:val="00343C15"/>
    <w:rsid w:val="003440AD"/>
    <w:rsid w:val="00350D3D"/>
    <w:rsid w:val="003510FF"/>
    <w:rsid w:val="00351713"/>
    <w:rsid w:val="00360900"/>
    <w:rsid w:val="00372BC9"/>
    <w:rsid w:val="00377A5A"/>
    <w:rsid w:val="00384E1C"/>
    <w:rsid w:val="00384E75"/>
    <w:rsid w:val="0038652D"/>
    <w:rsid w:val="00397488"/>
    <w:rsid w:val="003A3B79"/>
    <w:rsid w:val="003B1D86"/>
    <w:rsid w:val="003B61DA"/>
    <w:rsid w:val="003B71D4"/>
    <w:rsid w:val="003C0DDB"/>
    <w:rsid w:val="003C6C93"/>
    <w:rsid w:val="003D497E"/>
    <w:rsid w:val="003F38FA"/>
    <w:rsid w:val="003F503D"/>
    <w:rsid w:val="004076BA"/>
    <w:rsid w:val="00413973"/>
    <w:rsid w:val="0042512B"/>
    <w:rsid w:val="00435AFE"/>
    <w:rsid w:val="00440323"/>
    <w:rsid w:val="004404E5"/>
    <w:rsid w:val="004415A2"/>
    <w:rsid w:val="00454751"/>
    <w:rsid w:val="00454B80"/>
    <w:rsid w:val="0045792D"/>
    <w:rsid w:val="0047206A"/>
    <w:rsid w:val="00474445"/>
    <w:rsid w:val="00486505"/>
    <w:rsid w:val="00492D2E"/>
    <w:rsid w:val="004A5D43"/>
    <w:rsid w:val="004B0AEE"/>
    <w:rsid w:val="004B79C4"/>
    <w:rsid w:val="004C1452"/>
    <w:rsid w:val="004E0C1D"/>
    <w:rsid w:val="004E6ED9"/>
    <w:rsid w:val="004F2D0C"/>
    <w:rsid w:val="004F6139"/>
    <w:rsid w:val="00500108"/>
    <w:rsid w:val="005048D9"/>
    <w:rsid w:val="005321D2"/>
    <w:rsid w:val="00542056"/>
    <w:rsid w:val="0055297F"/>
    <w:rsid w:val="0055593A"/>
    <w:rsid w:val="00555D6A"/>
    <w:rsid w:val="00561D2E"/>
    <w:rsid w:val="00571CA1"/>
    <w:rsid w:val="00572D6C"/>
    <w:rsid w:val="00596BD1"/>
    <w:rsid w:val="005B1F87"/>
    <w:rsid w:val="005C0450"/>
    <w:rsid w:val="005D37E2"/>
    <w:rsid w:val="005E0A83"/>
    <w:rsid w:val="005F2A6B"/>
    <w:rsid w:val="00621200"/>
    <w:rsid w:val="0062325B"/>
    <w:rsid w:val="00625EB4"/>
    <w:rsid w:val="00635445"/>
    <w:rsid w:val="00642E04"/>
    <w:rsid w:val="00647E75"/>
    <w:rsid w:val="006607BB"/>
    <w:rsid w:val="0067035D"/>
    <w:rsid w:val="00672D20"/>
    <w:rsid w:val="00682D50"/>
    <w:rsid w:val="00684015"/>
    <w:rsid w:val="00685952"/>
    <w:rsid w:val="006A2F41"/>
    <w:rsid w:val="006C4F33"/>
    <w:rsid w:val="006E28F0"/>
    <w:rsid w:val="006E5362"/>
    <w:rsid w:val="006F27FD"/>
    <w:rsid w:val="006F36CE"/>
    <w:rsid w:val="00737792"/>
    <w:rsid w:val="00745AD5"/>
    <w:rsid w:val="007468AD"/>
    <w:rsid w:val="0075018E"/>
    <w:rsid w:val="00753137"/>
    <w:rsid w:val="00755451"/>
    <w:rsid w:val="007722B9"/>
    <w:rsid w:val="007763E2"/>
    <w:rsid w:val="00780FF0"/>
    <w:rsid w:val="007A0C08"/>
    <w:rsid w:val="007A1BB8"/>
    <w:rsid w:val="007A2D68"/>
    <w:rsid w:val="007A2DB3"/>
    <w:rsid w:val="007A5943"/>
    <w:rsid w:val="007A5B2B"/>
    <w:rsid w:val="007B23AF"/>
    <w:rsid w:val="007B6195"/>
    <w:rsid w:val="007E09C2"/>
    <w:rsid w:val="007E5E53"/>
    <w:rsid w:val="008025E9"/>
    <w:rsid w:val="00803518"/>
    <w:rsid w:val="0080362D"/>
    <w:rsid w:val="00803B1F"/>
    <w:rsid w:val="008142E3"/>
    <w:rsid w:val="008217EF"/>
    <w:rsid w:val="008330C3"/>
    <w:rsid w:val="00841439"/>
    <w:rsid w:val="00847C69"/>
    <w:rsid w:val="00853CCB"/>
    <w:rsid w:val="00854DD9"/>
    <w:rsid w:val="008647F0"/>
    <w:rsid w:val="008675B0"/>
    <w:rsid w:val="00874600"/>
    <w:rsid w:val="00875166"/>
    <w:rsid w:val="00886073"/>
    <w:rsid w:val="008B3BAE"/>
    <w:rsid w:val="008E2949"/>
    <w:rsid w:val="009042DC"/>
    <w:rsid w:val="00917463"/>
    <w:rsid w:val="0092090F"/>
    <w:rsid w:val="009222EB"/>
    <w:rsid w:val="0092399F"/>
    <w:rsid w:val="00941E93"/>
    <w:rsid w:val="00954E85"/>
    <w:rsid w:val="00962DE9"/>
    <w:rsid w:val="009A51D0"/>
    <w:rsid w:val="009B5659"/>
    <w:rsid w:val="009B614D"/>
    <w:rsid w:val="009D6D0E"/>
    <w:rsid w:val="009E399C"/>
    <w:rsid w:val="009E4D30"/>
    <w:rsid w:val="009E72CB"/>
    <w:rsid w:val="009F1F10"/>
    <w:rsid w:val="009F624E"/>
    <w:rsid w:val="00A020BA"/>
    <w:rsid w:val="00A07314"/>
    <w:rsid w:val="00A22F9F"/>
    <w:rsid w:val="00A26EF8"/>
    <w:rsid w:val="00A446C8"/>
    <w:rsid w:val="00A655A6"/>
    <w:rsid w:val="00A73D3C"/>
    <w:rsid w:val="00A750B9"/>
    <w:rsid w:val="00A80993"/>
    <w:rsid w:val="00A9022B"/>
    <w:rsid w:val="00AB07BD"/>
    <w:rsid w:val="00AB5187"/>
    <w:rsid w:val="00AB7F7B"/>
    <w:rsid w:val="00AD489C"/>
    <w:rsid w:val="00AE0F04"/>
    <w:rsid w:val="00AF3A36"/>
    <w:rsid w:val="00AF7DA1"/>
    <w:rsid w:val="00B05691"/>
    <w:rsid w:val="00B27947"/>
    <w:rsid w:val="00B31560"/>
    <w:rsid w:val="00B31CBA"/>
    <w:rsid w:val="00B321B4"/>
    <w:rsid w:val="00B43616"/>
    <w:rsid w:val="00B4549E"/>
    <w:rsid w:val="00B527F2"/>
    <w:rsid w:val="00B540A9"/>
    <w:rsid w:val="00B54B50"/>
    <w:rsid w:val="00B64010"/>
    <w:rsid w:val="00B82A7B"/>
    <w:rsid w:val="00B83249"/>
    <w:rsid w:val="00B94F5B"/>
    <w:rsid w:val="00B953F0"/>
    <w:rsid w:val="00B96481"/>
    <w:rsid w:val="00BA0C09"/>
    <w:rsid w:val="00BB409C"/>
    <w:rsid w:val="00BE0C54"/>
    <w:rsid w:val="00BE6434"/>
    <w:rsid w:val="00BF6D82"/>
    <w:rsid w:val="00C07108"/>
    <w:rsid w:val="00C073A9"/>
    <w:rsid w:val="00C150E8"/>
    <w:rsid w:val="00C15405"/>
    <w:rsid w:val="00C21E74"/>
    <w:rsid w:val="00C22AA8"/>
    <w:rsid w:val="00C22EFE"/>
    <w:rsid w:val="00C451D2"/>
    <w:rsid w:val="00C46C17"/>
    <w:rsid w:val="00C5474E"/>
    <w:rsid w:val="00C569EA"/>
    <w:rsid w:val="00C61954"/>
    <w:rsid w:val="00C84A8F"/>
    <w:rsid w:val="00C85BBD"/>
    <w:rsid w:val="00CA55E6"/>
    <w:rsid w:val="00CB4C23"/>
    <w:rsid w:val="00CC08A8"/>
    <w:rsid w:val="00CD4501"/>
    <w:rsid w:val="00CD4A78"/>
    <w:rsid w:val="00CE17F5"/>
    <w:rsid w:val="00CF2974"/>
    <w:rsid w:val="00D122DC"/>
    <w:rsid w:val="00D17B83"/>
    <w:rsid w:val="00D203E5"/>
    <w:rsid w:val="00D27842"/>
    <w:rsid w:val="00D30B43"/>
    <w:rsid w:val="00D3119E"/>
    <w:rsid w:val="00D47E8D"/>
    <w:rsid w:val="00D6279E"/>
    <w:rsid w:val="00D729B5"/>
    <w:rsid w:val="00D732B9"/>
    <w:rsid w:val="00D7547E"/>
    <w:rsid w:val="00D92853"/>
    <w:rsid w:val="00D96456"/>
    <w:rsid w:val="00DA363C"/>
    <w:rsid w:val="00DA6ED0"/>
    <w:rsid w:val="00DC18B8"/>
    <w:rsid w:val="00DC6323"/>
    <w:rsid w:val="00DE3D29"/>
    <w:rsid w:val="00DF7EC3"/>
    <w:rsid w:val="00E27023"/>
    <w:rsid w:val="00E30A70"/>
    <w:rsid w:val="00E34CF0"/>
    <w:rsid w:val="00E35272"/>
    <w:rsid w:val="00E3638D"/>
    <w:rsid w:val="00E36571"/>
    <w:rsid w:val="00E46094"/>
    <w:rsid w:val="00E500AD"/>
    <w:rsid w:val="00E50F07"/>
    <w:rsid w:val="00E51BF0"/>
    <w:rsid w:val="00E564E1"/>
    <w:rsid w:val="00E67850"/>
    <w:rsid w:val="00E757E3"/>
    <w:rsid w:val="00E82CAF"/>
    <w:rsid w:val="00E8353E"/>
    <w:rsid w:val="00E947A2"/>
    <w:rsid w:val="00E95E4D"/>
    <w:rsid w:val="00EA0514"/>
    <w:rsid w:val="00EC1698"/>
    <w:rsid w:val="00ED04A1"/>
    <w:rsid w:val="00EE57DA"/>
    <w:rsid w:val="00EF6199"/>
    <w:rsid w:val="00F04AB0"/>
    <w:rsid w:val="00F0661A"/>
    <w:rsid w:val="00F06FDF"/>
    <w:rsid w:val="00F10EF0"/>
    <w:rsid w:val="00F14FAA"/>
    <w:rsid w:val="00F379CE"/>
    <w:rsid w:val="00F4183B"/>
    <w:rsid w:val="00F450AE"/>
    <w:rsid w:val="00F546B1"/>
    <w:rsid w:val="00F5663B"/>
    <w:rsid w:val="00F604BB"/>
    <w:rsid w:val="00F623A5"/>
    <w:rsid w:val="00F64325"/>
    <w:rsid w:val="00F65080"/>
    <w:rsid w:val="00F659DE"/>
    <w:rsid w:val="00F70F9B"/>
    <w:rsid w:val="00F72E1D"/>
    <w:rsid w:val="00F76047"/>
    <w:rsid w:val="00F76469"/>
    <w:rsid w:val="00F93938"/>
    <w:rsid w:val="00F95319"/>
    <w:rsid w:val="00FA2099"/>
    <w:rsid w:val="00FB05CC"/>
    <w:rsid w:val="00FB0738"/>
    <w:rsid w:val="00FB0F91"/>
    <w:rsid w:val="00FD0B3C"/>
    <w:rsid w:val="00FD1215"/>
    <w:rsid w:val="00FD4C00"/>
    <w:rsid w:val="00FE12EA"/>
    <w:rsid w:val="00FE56A0"/>
    <w:rsid w:val="00FF5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8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48D9"/>
    <w:pPr>
      <w:tabs>
        <w:tab w:val="center" w:pos="4320"/>
        <w:tab w:val="right" w:pos="8640"/>
      </w:tabs>
    </w:pPr>
    <w:rPr>
      <w:sz w:val="26"/>
    </w:rPr>
  </w:style>
  <w:style w:type="paragraph" w:styleId="DocumentMap">
    <w:name w:val="Document Map"/>
    <w:basedOn w:val="Normal"/>
    <w:semiHidden/>
    <w:rsid w:val="005048D9"/>
    <w:pPr>
      <w:shd w:val="clear" w:color="auto" w:fill="000080"/>
    </w:pPr>
    <w:rPr>
      <w:rFonts w:ascii="Tahoma" w:hAnsi="Tahoma"/>
    </w:rPr>
  </w:style>
  <w:style w:type="paragraph" w:styleId="Header">
    <w:name w:val="header"/>
    <w:basedOn w:val="Normal"/>
    <w:rsid w:val="005048D9"/>
    <w:pPr>
      <w:tabs>
        <w:tab w:val="center" w:pos="4320"/>
        <w:tab w:val="right" w:pos="8640"/>
      </w:tabs>
    </w:pPr>
  </w:style>
  <w:style w:type="paragraph" w:styleId="BodyTextIndent">
    <w:name w:val="Body Text Indent"/>
    <w:basedOn w:val="Normal"/>
    <w:rsid w:val="005048D9"/>
    <w:pPr>
      <w:ind w:left="795" w:hanging="75"/>
    </w:pPr>
    <w:rPr>
      <w:rFonts w:ascii="Arial" w:hAnsi="Arial"/>
    </w:rPr>
  </w:style>
  <w:style w:type="paragraph" w:styleId="BalloonText">
    <w:name w:val="Balloon Text"/>
    <w:basedOn w:val="Normal"/>
    <w:semiHidden/>
    <w:rsid w:val="005048D9"/>
    <w:rPr>
      <w:rFonts w:ascii="Tahoma" w:hAnsi="Tahoma" w:cs="Tahoma"/>
      <w:sz w:val="16"/>
      <w:szCs w:val="16"/>
    </w:rPr>
  </w:style>
  <w:style w:type="character" w:styleId="PageNumber">
    <w:name w:val="page number"/>
    <w:basedOn w:val="DefaultParagraphFont"/>
    <w:rsid w:val="005048D9"/>
  </w:style>
</w:styles>
</file>

<file path=word/webSettings.xml><?xml version="1.0" encoding="utf-8"?>
<w:webSettings xmlns:r="http://schemas.openxmlformats.org/officeDocument/2006/relationships" xmlns:w="http://schemas.openxmlformats.org/wordprocessingml/2006/main">
  <w:divs>
    <w:div w:id="24867410">
      <w:bodyDiv w:val="1"/>
      <w:marLeft w:val="0"/>
      <w:marRight w:val="0"/>
      <w:marTop w:val="0"/>
      <w:marBottom w:val="0"/>
      <w:divBdr>
        <w:top w:val="none" w:sz="0" w:space="0" w:color="auto"/>
        <w:left w:val="none" w:sz="0" w:space="0" w:color="auto"/>
        <w:bottom w:val="none" w:sz="0" w:space="0" w:color="auto"/>
        <w:right w:val="none" w:sz="0" w:space="0" w:color="auto"/>
      </w:divBdr>
    </w:div>
    <w:div w:id="49353024">
      <w:bodyDiv w:val="1"/>
      <w:marLeft w:val="0"/>
      <w:marRight w:val="0"/>
      <w:marTop w:val="0"/>
      <w:marBottom w:val="0"/>
      <w:divBdr>
        <w:top w:val="none" w:sz="0" w:space="0" w:color="auto"/>
        <w:left w:val="none" w:sz="0" w:space="0" w:color="auto"/>
        <w:bottom w:val="none" w:sz="0" w:space="0" w:color="auto"/>
        <w:right w:val="none" w:sz="0" w:space="0" w:color="auto"/>
      </w:divBdr>
    </w:div>
    <w:div w:id="74595890">
      <w:bodyDiv w:val="1"/>
      <w:marLeft w:val="0"/>
      <w:marRight w:val="0"/>
      <w:marTop w:val="0"/>
      <w:marBottom w:val="0"/>
      <w:divBdr>
        <w:top w:val="none" w:sz="0" w:space="0" w:color="auto"/>
        <w:left w:val="none" w:sz="0" w:space="0" w:color="auto"/>
        <w:bottom w:val="none" w:sz="0" w:space="0" w:color="auto"/>
        <w:right w:val="none" w:sz="0" w:space="0" w:color="auto"/>
      </w:divBdr>
    </w:div>
    <w:div w:id="93137496">
      <w:bodyDiv w:val="1"/>
      <w:marLeft w:val="0"/>
      <w:marRight w:val="0"/>
      <w:marTop w:val="0"/>
      <w:marBottom w:val="0"/>
      <w:divBdr>
        <w:top w:val="none" w:sz="0" w:space="0" w:color="auto"/>
        <w:left w:val="none" w:sz="0" w:space="0" w:color="auto"/>
        <w:bottom w:val="none" w:sz="0" w:space="0" w:color="auto"/>
        <w:right w:val="none" w:sz="0" w:space="0" w:color="auto"/>
      </w:divBdr>
    </w:div>
    <w:div w:id="112528690">
      <w:bodyDiv w:val="1"/>
      <w:marLeft w:val="0"/>
      <w:marRight w:val="0"/>
      <w:marTop w:val="0"/>
      <w:marBottom w:val="0"/>
      <w:divBdr>
        <w:top w:val="none" w:sz="0" w:space="0" w:color="auto"/>
        <w:left w:val="none" w:sz="0" w:space="0" w:color="auto"/>
        <w:bottom w:val="none" w:sz="0" w:space="0" w:color="auto"/>
        <w:right w:val="none" w:sz="0" w:space="0" w:color="auto"/>
      </w:divBdr>
    </w:div>
    <w:div w:id="227345474">
      <w:bodyDiv w:val="1"/>
      <w:marLeft w:val="0"/>
      <w:marRight w:val="0"/>
      <w:marTop w:val="0"/>
      <w:marBottom w:val="0"/>
      <w:divBdr>
        <w:top w:val="none" w:sz="0" w:space="0" w:color="auto"/>
        <w:left w:val="none" w:sz="0" w:space="0" w:color="auto"/>
        <w:bottom w:val="none" w:sz="0" w:space="0" w:color="auto"/>
        <w:right w:val="none" w:sz="0" w:space="0" w:color="auto"/>
      </w:divBdr>
    </w:div>
    <w:div w:id="332530818">
      <w:bodyDiv w:val="1"/>
      <w:marLeft w:val="0"/>
      <w:marRight w:val="0"/>
      <w:marTop w:val="0"/>
      <w:marBottom w:val="0"/>
      <w:divBdr>
        <w:top w:val="none" w:sz="0" w:space="0" w:color="auto"/>
        <w:left w:val="none" w:sz="0" w:space="0" w:color="auto"/>
        <w:bottom w:val="none" w:sz="0" w:space="0" w:color="auto"/>
        <w:right w:val="none" w:sz="0" w:space="0" w:color="auto"/>
      </w:divBdr>
    </w:div>
    <w:div w:id="385490900">
      <w:bodyDiv w:val="1"/>
      <w:marLeft w:val="0"/>
      <w:marRight w:val="0"/>
      <w:marTop w:val="0"/>
      <w:marBottom w:val="0"/>
      <w:divBdr>
        <w:top w:val="none" w:sz="0" w:space="0" w:color="auto"/>
        <w:left w:val="none" w:sz="0" w:space="0" w:color="auto"/>
        <w:bottom w:val="none" w:sz="0" w:space="0" w:color="auto"/>
        <w:right w:val="none" w:sz="0" w:space="0" w:color="auto"/>
      </w:divBdr>
    </w:div>
    <w:div w:id="396244784">
      <w:bodyDiv w:val="1"/>
      <w:marLeft w:val="0"/>
      <w:marRight w:val="0"/>
      <w:marTop w:val="0"/>
      <w:marBottom w:val="0"/>
      <w:divBdr>
        <w:top w:val="none" w:sz="0" w:space="0" w:color="auto"/>
        <w:left w:val="none" w:sz="0" w:space="0" w:color="auto"/>
        <w:bottom w:val="none" w:sz="0" w:space="0" w:color="auto"/>
        <w:right w:val="none" w:sz="0" w:space="0" w:color="auto"/>
      </w:divBdr>
    </w:div>
    <w:div w:id="622540407">
      <w:bodyDiv w:val="1"/>
      <w:marLeft w:val="0"/>
      <w:marRight w:val="0"/>
      <w:marTop w:val="0"/>
      <w:marBottom w:val="0"/>
      <w:divBdr>
        <w:top w:val="none" w:sz="0" w:space="0" w:color="auto"/>
        <w:left w:val="none" w:sz="0" w:space="0" w:color="auto"/>
        <w:bottom w:val="none" w:sz="0" w:space="0" w:color="auto"/>
        <w:right w:val="none" w:sz="0" w:space="0" w:color="auto"/>
      </w:divBdr>
    </w:div>
    <w:div w:id="749159055">
      <w:bodyDiv w:val="1"/>
      <w:marLeft w:val="0"/>
      <w:marRight w:val="0"/>
      <w:marTop w:val="0"/>
      <w:marBottom w:val="0"/>
      <w:divBdr>
        <w:top w:val="none" w:sz="0" w:space="0" w:color="auto"/>
        <w:left w:val="none" w:sz="0" w:space="0" w:color="auto"/>
        <w:bottom w:val="none" w:sz="0" w:space="0" w:color="auto"/>
        <w:right w:val="none" w:sz="0" w:space="0" w:color="auto"/>
      </w:divBdr>
    </w:div>
    <w:div w:id="771050670">
      <w:bodyDiv w:val="1"/>
      <w:marLeft w:val="0"/>
      <w:marRight w:val="0"/>
      <w:marTop w:val="0"/>
      <w:marBottom w:val="0"/>
      <w:divBdr>
        <w:top w:val="none" w:sz="0" w:space="0" w:color="auto"/>
        <w:left w:val="none" w:sz="0" w:space="0" w:color="auto"/>
        <w:bottom w:val="none" w:sz="0" w:space="0" w:color="auto"/>
        <w:right w:val="none" w:sz="0" w:space="0" w:color="auto"/>
      </w:divBdr>
    </w:div>
    <w:div w:id="780104408">
      <w:bodyDiv w:val="1"/>
      <w:marLeft w:val="0"/>
      <w:marRight w:val="0"/>
      <w:marTop w:val="0"/>
      <w:marBottom w:val="0"/>
      <w:divBdr>
        <w:top w:val="none" w:sz="0" w:space="0" w:color="auto"/>
        <w:left w:val="none" w:sz="0" w:space="0" w:color="auto"/>
        <w:bottom w:val="none" w:sz="0" w:space="0" w:color="auto"/>
        <w:right w:val="none" w:sz="0" w:space="0" w:color="auto"/>
      </w:divBdr>
    </w:div>
    <w:div w:id="871114113">
      <w:bodyDiv w:val="1"/>
      <w:marLeft w:val="0"/>
      <w:marRight w:val="0"/>
      <w:marTop w:val="0"/>
      <w:marBottom w:val="0"/>
      <w:divBdr>
        <w:top w:val="none" w:sz="0" w:space="0" w:color="auto"/>
        <w:left w:val="none" w:sz="0" w:space="0" w:color="auto"/>
        <w:bottom w:val="none" w:sz="0" w:space="0" w:color="auto"/>
        <w:right w:val="none" w:sz="0" w:space="0" w:color="auto"/>
      </w:divBdr>
    </w:div>
    <w:div w:id="899291625">
      <w:bodyDiv w:val="1"/>
      <w:marLeft w:val="0"/>
      <w:marRight w:val="0"/>
      <w:marTop w:val="0"/>
      <w:marBottom w:val="0"/>
      <w:divBdr>
        <w:top w:val="none" w:sz="0" w:space="0" w:color="auto"/>
        <w:left w:val="none" w:sz="0" w:space="0" w:color="auto"/>
        <w:bottom w:val="none" w:sz="0" w:space="0" w:color="auto"/>
        <w:right w:val="none" w:sz="0" w:space="0" w:color="auto"/>
      </w:divBdr>
    </w:div>
    <w:div w:id="969895334">
      <w:bodyDiv w:val="1"/>
      <w:marLeft w:val="0"/>
      <w:marRight w:val="0"/>
      <w:marTop w:val="0"/>
      <w:marBottom w:val="0"/>
      <w:divBdr>
        <w:top w:val="none" w:sz="0" w:space="0" w:color="auto"/>
        <w:left w:val="none" w:sz="0" w:space="0" w:color="auto"/>
        <w:bottom w:val="none" w:sz="0" w:space="0" w:color="auto"/>
        <w:right w:val="none" w:sz="0" w:space="0" w:color="auto"/>
      </w:divBdr>
    </w:div>
    <w:div w:id="993486884">
      <w:bodyDiv w:val="1"/>
      <w:marLeft w:val="0"/>
      <w:marRight w:val="0"/>
      <w:marTop w:val="0"/>
      <w:marBottom w:val="0"/>
      <w:divBdr>
        <w:top w:val="none" w:sz="0" w:space="0" w:color="auto"/>
        <w:left w:val="none" w:sz="0" w:space="0" w:color="auto"/>
        <w:bottom w:val="none" w:sz="0" w:space="0" w:color="auto"/>
        <w:right w:val="none" w:sz="0" w:space="0" w:color="auto"/>
      </w:divBdr>
    </w:div>
    <w:div w:id="1101147548">
      <w:bodyDiv w:val="1"/>
      <w:marLeft w:val="0"/>
      <w:marRight w:val="0"/>
      <w:marTop w:val="0"/>
      <w:marBottom w:val="0"/>
      <w:divBdr>
        <w:top w:val="none" w:sz="0" w:space="0" w:color="auto"/>
        <w:left w:val="none" w:sz="0" w:space="0" w:color="auto"/>
        <w:bottom w:val="none" w:sz="0" w:space="0" w:color="auto"/>
        <w:right w:val="none" w:sz="0" w:space="0" w:color="auto"/>
      </w:divBdr>
    </w:div>
    <w:div w:id="1137180760">
      <w:bodyDiv w:val="1"/>
      <w:marLeft w:val="0"/>
      <w:marRight w:val="0"/>
      <w:marTop w:val="0"/>
      <w:marBottom w:val="0"/>
      <w:divBdr>
        <w:top w:val="none" w:sz="0" w:space="0" w:color="auto"/>
        <w:left w:val="none" w:sz="0" w:space="0" w:color="auto"/>
        <w:bottom w:val="none" w:sz="0" w:space="0" w:color="auto"/>
        <w:right w:val="none" w:sz="0" w:space="0" w:color="auto"/>
      </w:divBdr>
    </w:div>
    <w:div w:id="1163854917">
      <w:bodyDiv w:val="1"/>
      <w:marLeft w:val="0"/>
      <w:marRight w:val="0"/>
      <w:marTop w:val="0"/>
      <w:marBottom w:val="0"/>
      <w:divBdr>
        <w:top w:val="none" w:sz="0" w:space="0" w:color="auto"/>
        <w:left w:val="none" w:sz="0" w:space="0" w:color="auto"/>
        <w:bottom w:val="none" w:sz="0" w:space="0" w:color="auto"/>
        <w:right w:val="none" w:sz="0" w:space="0" w:color="auto"/>
      </w:divBdr>
    </w:div>
    <w:div w:id="1261790326">
      <w:bodyDiv w:val="1"/>
      <w:marLeft w:val="0"/>
      <w:marRight w:val="0"/>
      <w:marTop w:val="0"/>
      <w:marBottom w:val="0"/>
      <w:divBdr>
        <w:top w:val="none" w:sz="0" w:space="0" w:color="auto"/>
        <w:left w:val="none" w:sz="0" w:space="0" w:color="auto"/>
        <w:bottom w:val="none" w:sz="0" w:space="0" w:color="auto"/>
        <w:right w:val="none" w:sz="0" w:space="0" w:color="auto"/>
      </w:divBdr>
    </w:div>
    <w:div w:id="1282539922">
      <w:bodyDiv w:val="1"/>
      <w:marLeft w:val="0"/>
      <w:marRight w:val="0"/>
      <w:marTop w:val="0"/>
      <w:marBottom w:val="0"/>
      <w:divBdr>
        <w:top w:val="none" w:sz="0" w:space="0" w:color="auto"/>
        <w:left w:val="none" w:sz="0" w:space="0" w:color="auto"/>
        <w:bottom w:val="none" w:sz="0" w:space="0" w:color="auto"/>
        <w:right w:val="none" w:sz="0" w:space="0" w:color="auto"/>
      </w:divBdr>
    </w:div>
    <w:div w:id="1392000940">
      <w:bodyDiv w:val="1"/>
      <w:marLeft w:val="0"/>
      <w:marRight w:val="0"/>
      <w:marTop w:val="0"/>
      <w:marBottom w:val="0"/>
      <w:divBdr>
        <w:top w:val="none" w:sz="0" w:space="0" w:color="auto"/>
        <w:left w:val="none" w:sz="0" w:space="0" w:color="auto"/>
        <w:bottom w:val="none" w:sz="0" w:space="0" w:color="auto"/>
        <w:right w:val="none" w:sz="0" w:space="0" w:color="auto"/>
      </w:divBdr>
    </w:div>
    <w:div w:id="1445538358">
      <w:bodyDiv w:val="1"/>
      <w:marLeft w:val="0"/>
      <w:marRight w:val="0"/>
      <w:marTop w:val="0"/>
      <w:marBottom w:val="0"/>
      <w:divBdr>
        <w:top w:val="none" w:sz="0" w:space="0" w:color="auto"/>
        <w:left w:val="none" w:sz="0" w:space="0" w:color="auto"/>
        <w:bottom w:val="none" w:sz="0" w:space="0" w:color="auto"/>
        <w:right w:val="none" w:sz="0" w:space="0" w:color="auto"/>
      </w:divBdr>
    </w:div>
    <w:div w:id="1446341734">
      <w:bodyDiv w:val="1"/>
      <w:marLeft w:val="0"/>
      <w:marRight w:val="0"/>
      <w:marTop w:val="0"/>
      <w:marBottom w:val="0"/>
      <w:divBdr>
        <w:top w:val="none" w:sz="0" w:space="0" w:color="auto"/>
        <w:left w:val="none" w:sz="0" w:space="0" w:color="auto"/>
        <w:bottom w:val="none" w:sz="0" w:space="0" w:color="auto"/>
        <w:right w:val="none" w:sz="0" w:space="0" w:color="auto"/>
      </w:divBdr>
    </w:div>
    <w:div w:id="1491554426">
      <w:bodyDiv w:val="1"/>
      <w:marLeft w:val="0"/>
      <w:marRight w:val="0"/>
      <w:marTop w:val="0"/>
      <w:marBottom w:val="0"/>
      <w:divBdr>
        <w:top w:val="none" w:sz="0" w:space="0" w:color="auto"/>
        <w:left w:val="none" w:sz="0" w:space="0" w:color="auto"/>
        <w:bottom w:val="none" w:sz="0" w:space="0" w:color="auto"/>
        <w:right w:val="none" w:sz="0" w:space="0" w:color="auto"/>
      </w:divBdr>
    </w:div>
    <w:div w:id="1497650356">
      <w:bodyDiv w:val="1"/>
      <w:marLeft w:val="0"/>
      <w:marRight w:val="0"/>
      <w:marTop w:val="0"/>
      <w:marBottom w:val="0"/>
      <w:divBdr>
        <w:top w:val="none" w:sz="0" w:space="0" w:color="auto"/>
        <w:left w:val="none" w:sz="0" w:space="0" w:color="auto"/>
        <w:bottom w:val="none" w:sz="0" w:space="0" w:color="auto"/>
        <w:right w:val="none" w:sz="0" w:space="0" w:color="auto"/>
      </w:divBdr>
    </w:div>
    <w:div w:id="1502889454">
      <w:bodyDiv w:val="1"/>
      <w:marLeft w:val="0"/>
      <w:marRight w:val="0"/>
      <w:marTop w:val="0"/>
      <w:marBottom w:val="0"/>
      <w:divBdr>
        <w:top w:val="none" w:sz="0" w:space="0" w:color="auto"/>
        <w:left w:val="none" w:sz="0" w:space="0" w:color="auto"/>
        <w:bottom w:val="none" w:sz="0" w:space="0" w:color="auto"/>
        <w:right w:val="none" w:sz="0" w:space="0" w:color="auto"/>
      </w:divBdr>
    </w:div>
    <w:div w:id="1551502775">
      <w:bodyDiv w:val="1"/>
      <w:marLeft w:val="0"/>
      <w:marRight w:val="0"/>
      <w:marTop w:val="0"/>
      <w:marBottom w:val="0"/>
      <w:divBdr>
        <w:top w:val="none" w:sz="0" w:space="0" w:color="auto"/>
        <w:left w:val="none" w:sz="0" w:space="0" w:color="auto"/>
        <w:bottom w:val="none" w:sz="0" w:space="0" w:color="auto"/>
        <w:right w:val="none" w:sz="0" w:space="0" w:color="auto"/>
      </w:divBdr>
    </w:div>
    <w:div w:id="1653636490">
      <w:bodyDiv w:val="1"/>
      <w:marLeft w:val="0"/>
      <w:marRight w:val="0"/>
      <w:marTop w:val="0"/>
      <w:marBottom w:val="0"/>
      <w:divBdr>
        <w:top w:val="none" w:sz="0" w:space="0" w:color="auto"/>
        <w:left w:val="none" w:sz="0" w:space="0" w:color="auto"/>
        <w:bottom w:val="none" w:sz="0" w:space="0" w:color="auto"/>
        <w:right w:val="none" w:sz="0" w:space="0" w:color="auto"/>
      </w:divBdr>
    </w:div>
    <w:div w:id="1936937755">
      <w:bodyDiv w:val="1"/>
      <w:marLeft w:val="0"/>
      <w:marRight w:val="0"/>
      <w:marTop w:val="0"/>
      <w:marBottom w:val="0"/>
      <w:divBdr>
        <w:top w:val="none" w:sz="0" w:space="0" w:color="auto"/>
        <w:left w:val="none" w:sz="0" w:space="0" w:color="auto"/>
        <w:bottom w:val="none" w:sz="0" w:space="0" w:color="auto"/>
        <w:right w:val="none" w:sz="0" w:space="0" w:color="auto"/>
      </w:divBdr>
    </w:div>
    <w:div w:id="210013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Worksheet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Office_Excel_Worksheet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Excel_Worksheet5.xlsx"/><Relationship Id="rId25" Type="http://schemas.openxmlformats.org/officeDocument/2006/relationships/package" Target="embeddings/Microsoft_Office_Excel_Worksheet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Office_Excel_Worksheet4.xlsx"/><Relationship Id="rId23" Type="http://schemas.openxmlformats.org/officeDocument/2006/relationships/package" Target="embeddings/Microsoft_Office_Excel_Worksheet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Office_Excel_Worksheet6.xlsx"/><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3E949-EF47-4EAB-85C2-D8582F29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747</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October 19, 1999</vt:lpstr>
    </vt:vector>
  </TitlesOfParts>
  <Company>Oakland University</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1999</dc:title>
  <dc:subject/>
  <dc:creator>Esther McCoy</dc:creator>
  <cp:keywords/>
  <dc:description/>
  <cp:lastModifiedBy>Mona Gale</cp:lastModifiedBy>
  <cp:revision>5</cp:revision>
  <cp:lastPrinted>2011-08-23T14:59:00Z</cp:lastPrinted>
  <dcterms:created xsi:type="dcterms:W3CDTF">2011-08-22T21:13:00Z</dcterms:created>
  <dcterms:modified xsi:type="dcterms:W3CDTF">2011-08-23T15:27:00Z</dcterms:modified>
</cp:coreProperties>
</file>