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5" w:type="pct"/>
        <w:tblCellSpacing w:w="0" w:type="dxa"/>
        <w:tblInd w:w="-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F15CEB" w:rsidRPr="00F15CEB" w:rsidTr="00F15CE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F15CEB" w:rsidRPr="00F15C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CEB" w:rsidRPr="00F15CEB" w:rsidRDefault="00F15CEB" w:rsidP="00F15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5CEB" w:rsidRPr="00F15CEB" w:rsidRDefault="00F15CEB" w:rsidP="00F15CE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F15CEB" w:rsidRPr="00F15CEB" w:rsidTr="00F15CE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F15CEB" w:rsidRPr="00F15C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F15CEB" w:rsidRPr="00F15CEB" w:rsidRDefault="00F15CEB" w:rsidP="00F15CE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5CEB" w:rsidRPr="00F15C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102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5"/>
                        </w:tblGrid>
                        <w:tr w:rsidR="00F15CEB" w:rsidRPr="00F15CEB" w:rsidTr="00F15CEB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hideMark/>
                            </w:tcPr>
                            <w:p w:rsidR="00F15CEB" w:rsidRPr="00F15CEB" w:rsidRDefault="00F15CEB" w:rsidP="00F15CEB">
                              <w:pPr>
                                <w:pStyle w:val="Title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Chairs </w:t>
                              </w:r>
                              <w:r w:rsidRPr="00F15CEB">
                                <w:rPr>
                                  <w:rFonts w:eastAsia="Times New Roman"/>
                                </w:rPr>
                                <w:t xml:space="preserve">Update </w:t>
                              </w:r>
                              <w:r w:rsidRPr="00F15CEB">
                                <w:rPr>
                                  <w:rFonts w:eastAsia="Times New Roman"/>
                                </w:rPr>
                                <w:t>July 2018</w:t>
                              </w:r>
                            </w:p>
                            <w:p w:rsidR="00F15CEB" w:rsidRDefault="00F15CEB" w:rsidP="00F15CEB">
                              <w:pPr>
                                <w:pStyle w:val="Heading1"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 w:rsidRPr="00F15CEB">
                                <w:rPr>
                                  <w:rFonts w:eastAsia="Times New Roman"/>
                                  <w:color w:val="auto"/>
                                </w:rPr>
                                <w:t>Message from CETL Director</w:t>
                              </w:r>
                            </w:p>
                            <w:p w:rsidR="00F15CEB" w:rsidRPr="00F15CEB" w:rsidRDefault="00F15CEB" w:rsidP="00F15CEB"/>
                            <w:p w:rsidR="00F15CEB" w:rsidRPr="00F15CEB" w:rsidRDefault="00F15CEB" w:rsidP="00F15CEB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Hope you are all enjoying some R&amp;R mixed in with all your planning for the Fall Semester.  We would like to take this time to welcome our new incoming Chairs for the 2018-2019 Academic Year. Welcome to: 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James </w:t>
                              </w:r>
                              <w:proofErr w:type="spellStart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Naus</w:t>
                              </w:r>
                              <w:proofErr w:type="spell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History-CAS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Stephen Filler- Modern Languages and Literatures- CAS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Peter </w:t>
                              </w:r>
                              <w:proofErr w:type="spellStart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Trumbore</w:t>
                              </w:r>
                              <w:proofErr w:type="spell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Political Science- CAS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Jo </w:t>
                              </w:r>
                              <w:proofErr w:type="spellStart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Reger</w:t>
                              </w:r>
                              <w:proofErr w:type="spell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-Soc., </w:t>
                              </w:r>
                              <w:proofErr w:type="spellStart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Anthro</w:t>
                              </w:r>
                              <w:proofErr w:type="spell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., Crim. J. and Social Work- CAS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Valerie Palmer-Mehta- Women and Gender Studies- CAS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Janell Townsend- Management and Marketing- SBA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Linda </w:t>
                              </w:r>
                              <w:proofErr w:type="spellStart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Pavonetti</w:t>
                              </w:r>
                              <w:proofErr w:type="spell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Reading and Language Arts- SEHS</w:t>
                              </w:r>
                            </w:p>
                            <w:p w:rsidR="00F15CEB" w:rsidRPr="00F15CEB" w:rsidRDefault="00F15CEB" w:rsidP="00F15CEB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Welcome to these new Coordinators: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Kris Condic, Library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Douglas Gould, OUWB School of Medicine</w:t>
                              </w:r>
                            </w:p>
                            <w:p w:rsidR="00F15CEB" w:rsidRPr="00F15CEB" w:rsidRDefault="00F15CEB" w:rsidP="00F15CEB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Chair Information:</w:t>
                              </w:r>
                            </w:p>
                            <w:p w:rsidR="00F15CEB" w:rsidRPr="00F15CEB" w:rsidRDefault="00F15CEB" w:rsidP="00192CB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76" w:lineRule="auto"/>
                                <w:ind w:left="285" w:hanging="28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4TH Annual Chair Retreat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HOLD the DATE-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Tuesday, August 28th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– Tentative Time 9:00-3:00 for New and Nearly New Chairs (past 2 years) and12:00-3:00 All Chairs- in the Board Room in the Golf Club House- invitation, registration and details to follow.</w:t>
                              </w:r>
                            </w:p>
                            <w:p w:rsidR="00F15CEB" w:rsidRPr="00F15CEB" w:rsidRDefault="00F15CEB" w:rsidP="00192CB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76" w:lineRule="auto"/>
                                <w:ind w:left="285" w:hanging="28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Chair Resources and Guides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can be found on the </w:t>
                              </w:r>
                              <w:hyperlink r:id="rId7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Chairs' Corner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on the CETL website. During the </w:t>
                              </w:r>
                              <w:proofErr w:type="gramStart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summer</w:t>
                              </w:r>
                              <w:proofErr w:type="gram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we will be updating the Chairs Resource Guide and posting a new Quick Guide for Chairs.</w:t>
                              </w:r>
                            </w:p>
                            <w:p w:rsidR="00F15CEB" w:rsidRPr="00F15CEB" w:rsidRDefault="00F15CEB" w:rsidP="00192CB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76" w:lineRule="auto"/>
                                <w:ind w:left="285" w:hanging="28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Chair Fellow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This year we do not have a Chair Fellow but CETL will be working closely with Academic Affairs to provide support and programs. In addition, we hope that “seasoned” chairs will mentor our newer chairs.</w:t>
                              </w:r>
                            </w:p>
                            <w:p w:rsidR="00F15CEB" w:rsidRPr="00F15CEB" w:rsidRDefault="00F15CEB" w:rsidP="00192CB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76" w:lineRule="auto"/>
                                <w:ind w:left="285" w:hanging="28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Fall Chair Forums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HOLD the DATES- The tentative dates for our Chair Forums this fall will be from 12:00-1:30 (lunch provided) in the CETL Learning Studio (200A Elliott Hall).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Friday, September 28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Monday, October 29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Friday, November 30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ind w:firstLine="1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5. 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Monthly Chairs Meeting with the Provost -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1st Tuesday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of the month (except for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Sept. and Jan. then it is 2nd Tuesday since the 1st are holidays) 7:30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Breakfast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7:45</w:t>
                              </w:r>
                              <w:proofErr w:type="gram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- 9:00 meeting, Gold Rooms B/C, September - April.</w:t>
                              </w:r>
                            </w:p>
                            <w:p w:rsidR="00F15CEB" w:rsidRPr="00F15CEB" w:rsidRDefault="00F15CEB" w:rsidP="00F15CEB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Chair and Faculty Information: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ind w:firstLine="1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1. 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New Faculty Contact Information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– Please ensure that your Admin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istrative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Assistant has forwarded us all contact information about new full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and part-time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faculty. We reach out to them as soon as we have their informa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tion to invite them to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all the Orientation Events and to share all New Faculty Resource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s. Feel free to follow-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up with Candace Campbell at </w:t>
                              </w:r>
                              <w:hyperlink r:id="rId8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1155CC"/>
                                    <w:sz w:val="20"/>
                                    <w:szCs w:val="20"/>
                                    <w:u w:val="single"/>
                                  </w:rPr>
                                  <w:t>ccampbell2@oakland.edu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ind w:firstLine="1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2. 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New Faculty Orientations: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hyperlink r:id="rId9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Pre-Orientation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- Wednesday, Aug. 8 at 9:30-5 p.m., 200A Elliott Hall-Orientation 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hyperlink r:id="rId10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Dinner for Full Time Faculty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- Tuesday, Aug. 21 at 5-8 p.m., Meadow Brook Hall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hyperlink r:id="rId11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Full-Time Orientation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- Wednesday, Aug. 22 at 8:30- 5:30 p.m., Gold Rooms in Oakland Center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hyperlink r:id="rId12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Part-Time Orientation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- Thursday, Aug. 23 at 5-9 p.m., 200A Elliott Hall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ind w:firstLine="1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3.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3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New Faculty Resources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We have numerous resources and 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nformation for new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faculty.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4. 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Faculty Handbook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We are currently updating the Faculty Han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dbook for 2018-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2019.The </w:t>
                              </w:r>
                              <w:hyperlink r:id="rId14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2017-2018 Faculty Handbook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is still available.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ind w:firstLine="1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5.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5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Syllabus Resources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 – We have many resources and templates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to assist faculty as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they develop their syllabi. We indicate that OU does not have 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“standard template”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but faculty need to check with their department chair/course coo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rdinator to see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if 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there</w:t>
                              </w:r>
                              <w:proofErr w:type="gram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are templates that need to be used. The template that we pro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vide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was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developed</w:t>
                              </w:r>
                              <w:proofErr w:type="gramEnd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in co-ordination with General Education, Undergradu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ate and Graduate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Studies, Dean of Students and Campus Police. The template p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rovided meets digital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accessibility standards. Faculty are free to use all or any part of the template.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6. 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Learning Outcome Resources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Numerous resources and sup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ports are available for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faculty and programs as they develop their Learning Outcomes fo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r their syllabi (as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required by the Higher Learning Commission). These resources are availa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ble under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the Syllabus Resource Section above.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ind w:firstLine="1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7. 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Digital Accessibility Practice Labs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hyperlink r:id="rId16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Document Accessibility Practice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-Thursday, August 2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hyperlink r:id="rId17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Slide Presentation Accessibility Practice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- Monday, August 6</w:t>
                              </w:r>
                            </w:p>
                            <w:p w:rsidR="00F15CEB" w:rsidRPr="00F15CEB" w:rsidRDefault="00F15CEB" w:rsidP="00F15CE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hyperlink r:id="rId18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A08953"/>
                                    <w:sz w:val="20"/>
                                    <w:szCs w:val="20"/>
                                    <w:u w:val="single"/>
                                  </w:rPr>
                                  <w:t>Moodle Accessibility Practice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 - Tuesday, August 7</w:t>
                              </w:r>
                            </w:p>
                            <w:p w:rsidR="00F15CEB" w:rsidRPr="00F15CEB" w:rsidRDefault="00F15CEB" w:rsidP="00192CB1">
                              <w:pPr>
                                <w:spacing w:after="150" w:line="240" w:lineRule="auto"/>
                                <w:ind w:firstLine="15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8. 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Teaching and Learning Consultations 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- The summer is a grea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t time for faculty to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meet 1:1 at CETL as they </w:t>
                              </w:r>
                              <w:r w:rsidR="00192CB1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develop their syllabi, assignments, ru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brics, teaching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 strategies or to discuss and reflect on their course evaluations/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 xml:space="preserve">student feedback 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surveys. Please contact Judy at </w:t>
                              </w:r>
                              <w:hyperlink r:id="rId19" w:tgtFrame="_blank" w:history="1">
                                <w:r w:rsidRPr="00F15CEB">
                                  <w:rPr>
                                    <w:rFonts w:ascii="Arial" w:eastAsia="Times New Roman" w:hAnsi="Arial" w:cs="Arial"/>
                                    <w:color w:val="1155CC"/>
                                    <w:sz w:val="20"/>
                                    <w:szCs w:val="20"/>
                                    <w:u w:val="single"/>
                                  </w:rPr>
                                  <w:t>ableser@oakland.edu</w:t>
                                </w:r>
                              </w:hyperlink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15CEB" w:rsidRPr="00F15CEB" w:rsidRDefault="00F15CEB" w:rsidP="00F15CEB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Looking forward to a busy and productive academic year.  Feel free to contact me with any questions or ideas.</w:t>
                              </w:r>
                            </w:p>
                            <w:p w:rsidR="00F15CEB" w:rsidRPr="00F15CEB" w:rsidRDefault="00F15CEB" w:rsidP="00F15CEB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t>Respectfully,</w:t>
                              </w:r>
                              <w:bookmarkStart w:id="0" w:name="_GoBack"/>
                              <w:bookmarkEnd w:id="0"/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br/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br/>
                                <w:t>Judy Ableser, PhD</w:t>
                              </w:r>
                              <w:r w:rsidRPr="00F15CEB"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  <w:br/>
                                <w:t>CETL Director </w:t>
                              </w:r>
                            </w:p>
                          </w:tc>
                        </w:tr>
                        <w:tr w:rsidR="00F15CEB" w:rsidRPr="00F15CEB" w:rsidTr="00F15CEB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:rsidR="00F15CEB" w:rsidRPr="00F15CEB" w:rsidRDefault="00F15CEB" w:rsidP="00F15CEB">
                              <w:pPr>
                                <w:spacing w:after="15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2C2C2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15CEB" w:rsidRPr="00F15CEB" w:rsidRDefault="00F15CEB" w:rsidP="00F15CE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5CEB" w:rsidRPr="00F15CEB" w:rsidRDefault="00F15CEB" w:rsidP="00F15C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15CEB" w:rsidRPr="00F15CEB" w:rsidRDefault="00F15CEB" w:rsidP="00F15C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CD2D58" w:rsidRDefault="003B1505"/>
    <w:sectPr w:rsidR="00CD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05" w:rsidRDefault="003B1505" w:rsidP="00F15CEB">
      <w:pPr>
        <w:spacing w:after="0" w:line="240" w:lineRule="auto"/>
      </w:pPr>
      <w:r>
        <w:separator/>
      </w:r>
    </w:p>
  </w:endnote>
  <w:endnote w:type="continuationSeparator" w:id="0">
    <w:p w:rsidR="003B1505" w:rsidRDefault="003B1505" w:rsidP="00F1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05" w:rsidRDefault="003B1505" w:rsidP="00F15CEB">
      <w:pPr>
        <w:spacing w:after="0" w:line="240" w:lineRule="auto"/>
      </w:pPr>
      <w:r>
        <w:separator/>
      </w:r>
    </w:p>
  </w:footnote>
  <w:footnote w:type="continuationSeparator" w:id="0">
    <w:p w:rsidR="003B1505" w:rsidRDefault="003B1505" w:rsidP="00F1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69E"/>
    <w:multiLevelType w:val="multilevel"/>
    <w:tmpl w:val="C4BC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6530"/>
    <w:multiLevelType w:val="multilevel"/>
    <w:tmpl w:val="5962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E2F91"/>
    <w:multiLevelType w:val="multilevel"/>
    <w:tmpl w:val="FE0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81EE7"/>
    <w:multiLevelType w:val="multilevel"/>
    <w:tmpl w:val="693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F3881"/>
    <w:multiLevelType w:val="multilevel"/>
    <w:tmpl w:val="BB2E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72712"/>
    <w:multiLevelType w:val="multilevel"/>
    <w:tmpl w:val="490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EB"/>
    <w:rsid w:val="00192CB1"/>
    <w:rsid w:val="001D7AFE"/>
    <w:rsid w:val="003B1505"/>
    <w:rsid w:val="00E40203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CBE5"/>
  <w15:chartTrackingRefBased/>
  <w15:docId w15:val="{4C4CA046-3685-4BE4-80F7-6233EA13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EB"/>
  </w:style>
  <w:style w:type="paragraph" w:styleId="Footer">
    <w:name w:val="footer"/>
    <w:basedOn w:val="Normal"/>
    <w:link w:val="FooterChar"/>
    <w:uiPriority w:val="99"/>
    <w:unhideWhenUsed/>
    <w:rsid w:val="00F1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EB"/>
  </w:style>
  <w:style w:type="paragraph" w:styleId="Title">
    <w:name w:val="Title"/>
    <w:basedOn w:val="Normal"/>
    <w:next w:val="Normal"/>
    <w:link w:val="TitleChar"/>
    <w:uiPriority w:val="10"/>
    <w:qFormat/>
    <w:rsid w:val="00F15C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5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7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3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4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0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99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0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6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4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42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7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3290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7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4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9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2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mpbell2@oakland.edu" TargetMode="External"/><Relationship Id="rId13" Type="http://schemas.openxmlformats.org/officeDocument/2006/relationships/hyperlink" Target="https://t.e2ma.net/click/1bwg2/99bqdu/d99mag" TargetMode="External"/><Relationship Id="rId18" Type="http://schemas.openxmlformats.org/officeDocument/2006/relationships/hyperlink" Target="https://t.e2ma.net/click/1bwg2/99bqdu/l7dn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.e2ma.net/click/1bwg2/99bqdu/5a6mag" TargetMode="External"/><Relationship Id="rId12" Type="http://schemas.openxmlformats.org/officeDocument/2006/relationships/hyperlink" Target="https://t.e2ma.net/click/1bwg2/99bqdu/xg9mag" TargetMode="External"/><Relationship Id="rId17" Type="http://schemas.openxmlformats.org/officeDocument/2006/relationships/hyperlink" Target="https://t.e2ma.net/click/1bwg2/99bqdu/5edn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e2ma.net/click/1bwg2/99bqdu/pmcna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e2ma.net/click/1bwg2/99bqdu/ho8m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e2ma.net/click/1bwg2/99bqdu/9tbnag" TargetMode="External"/><Relationship Id="rId10" Type="http://schemas.openxmlformats.org/officeDocument/2006/relationships/hyperlink" Target="https://t.e2ma.net/click/1bwg2/99bqdu/1v7mag" TargetMode="External"/><Relationship Id="rId19" Type="http://schemas.openxmlformats.org/officeDocument/2006/relationships/hyperlink" Target="mailto:ableser@oak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e2ma.net/click/1bwg2/99bqdu/l36mag" TargetMode="External"/><Relationship Id="rId14" Type="http://schemas.openxmlformats.org/officeDocument/2006/relationships/hyperlink" Target="https://t.e2ma.net/click/1bwg2/99bqdu/t1an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jack0211</dc:creator>
  <cp:keywords/>
  <dc:description/>
  <cp:lastModifiedBy>jack0211</cp:lastModifiedBy>
  <cp:revision>2</cp:revision>
  <cp:lastPrinted>2018-07-20T16:50:00Z</cp:lastPrinted>
  <dcterms:created xsi:type="dcterms:W3CDTF">2018-07-20T16:41:00Z</dcterms:created>
  <dcterms:modified xsi:type="dcterms:W3CDTF">2018-07-20T16:52:00Z</dcterms:modified>
</cp:coreProperties>
</file>