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FD17" w14:textId="3CF1EC33" w:rsidR="00704845" w:rsidRPr="00613DBF" w:rsidRDefault="0042623F" w:rsidP="00704845">
      <w:pPr>
        <w:contextualSpacing/>
        <w:rPr>
          <w:b/>
        </w:rPr>
      </w:pPr>
      <w:bookmarkStart w:id="0" w:name="_GoBack"/>
      <w:bookmarkEnd w:id="0"/>
      <w:r w:rsidRPr="00613DBF">
        <w:rPr>
          <w:b/>
        </w:rPr>
        <w:t xml:space="preserve">Examples of Learning </w:t>
      </w:r>
      <w:r w:rsidR="00285ED9">
        <w:rPr>
          <w:b/>
        </w:rPr>
        <w:t>Outcomes</w:t>
      </w:r>
      <w:r w:rsidRPr="00613DBF">
        <w:rPr>
          <w:b/>
        </w:rPr>
        <w:t xml:space="preserve"> </w:t>
      </w:r>
    </w:p>
    <w:p w14:paraId="0B5137D0" w14:textId="77777777" w:rsidR="00435D9F" w:rsidRDefault="00435D9F" w:rsidP="00704845">
      <w:pPr>
        <w:contextualSpacing/>
      </w:pPr>
    </w:p>
    <w:p w14:paraId="5E4D8794" w14:textId="77777777" w:rsidR="00613DBF" w:rsidRDefault="00613DBF" w:rsidP="00704845">
      <w:pPr>
        <w:contextualSpacing/>
      </w:pPr>
    </w:p>
    <w:p w14:paraId="5CEAC9E5" w14:textId="7A6B90B8" w:rsidR="0042623F" w:rsidRPr="0042623F" w:rsidRDefault="0042623F" w:rsidP="0042623F">
      <w:pPr>
        <w:contextualSpacing/>
      </w:pPr>
      <w:r>
        <w:rPr>
          <w:bCs/>
        </w:rPr>
        <w:t xml:space="preserve">Example </w:t>
      </w:r>
      <w:r w:rsidR="00435D9F">
        <w:rPr>
          <w:bCs/>
        </w:rPr>
        <w:t>A</w:t>
      </w:r>
      <w:r w:rsidR="000D29BF">
        <w:rPr>
          <w:bCs/>
        </w:rPr>
        <w:t xml:space="preserve">: Learning </w:t>
      </w:r>
      <w:r w:rsidR="00C80D27">
        <w:rPr>
          <w:bCs/>
        </w:rPr>
        <w:t>Outcomes</w:t>
      </w:r>
      <w:r w:rsidR="00AB74DF">
        <w:rPr>
          <w:bCs/>
        </w:rPr>
        <w:t xml:space="preserve"> f</w:t>
      </w:r>
      <w:r w:rsidRPr="0042623F">
        <w:rPr>
          <w:bCs/>
        </w:rPr>
        <w:t>rom</w:t>
      </w:r>
      <w:r w:rsidR="000D29BF">
        <w:t xml:space="preserve"> BIO 3323 – </w:t>
      </w:r>
      <w:r w:rsidRPr="0042623F">
        <w:t>Marine Biology Laboratory</w:t>
      </w:r>
    </w:p>
    <w:p w14:paraId="36503B0C" w14:textId="77777777" w:rsidR="0042623F" w:rsidRPr="0042623F" w:rsidRDefault="0042623F" w:rsidP="00704845">
      <w:pPr>
        <w:contextualSpacing/>
        <w:rPr>
          <w:b/>
          <w:bCs/>
        </w:rPr>
      </w:pPr>
    </w:p>
    <w:p w14:paraId="3EF60191" w14:textId="2CA0FD56" w:rsidR="00AB74DF" w:rsidRDefault="00323699" w:rsidP="00AB74DF">
      <w:pPr>
        <w:autoSpaceDE w:val="0"/>
        <w:autoSpaceDN w:val="0"/>
        <w:adjustRightInd w:val="0"/>
        <w:spacing w:after="120"/>
        <w:rPr>
          <w:b/>
          <w:bCs/>
        </w:rPr>
      </w:pPr>
      <w:r>
        <w:rPr>
          <w:b/>
          <w:bCs/>
        </w:rPr>
        <w:t xml:space="preserve">Learning </w:t>
      </w:r>
      <w:r w:rsidR="00C62F79">
        <w:rPr>
          <w:b/>
          <w:bCs/>
        </w:rPr>
        <w:t>Outcomes</w:t>
      </w:r>
      <w:r w:rsidR="00704845" w:rsidRPr="0042623F">
        <w:rPr>
          <w:b/>
          <w:bCs/>
        </w:rPr>
        <w:t xml:space="preserve">: </w:t>
      </w:r>
    </w:p>
    <w:p w14:paraId="7EA6F914" w14:textId="77777777" w:rsidR="00704845" w:rsidRPr="0042623F" w:rsidRDefault="00704845" w:rsidP="006309B0">
      <w:pPr>
        <w:autoSpaceDE w:val="0"/>
        <w:autoSpaceDN w:val="0"/>
        <w:adjustRightInd w:val="0"/>
        <w:spacing w:after="120"/>
      </w:pPr>
      <w:r w:rsidRPr="0042623F">
        <w:t>By the end of the course, students will be able to:</w:t>
      </w:r>
    </w:p>
    <w:p w14:paraId="66AE7990" w14:textId="77777777" w:rsidR="00704845" w:rsidRPr="0042623F" w:rsidRDefault="00704845" w:rsidP="006309B0">
      <w:pPr>
        <w:autoSpaceDE w:val="0"/>
        <w:autoSpaceDN w:val="0"/>
        <w:adjustRightInd w:val="0"/>
        <w:spacing w:after="60" w:line="259" w:lineRule="auto"/>
        <w:ind w:left="360" w:hanging="270"/>
      </w:pPr>
      <w:r w:rsidRPr="0042623F">
        <w:t>1. Produce, record, and expound on the value of careful and accurate scientific observations</w:t>
      </w:r>
      <w:r w:rsidR="006309B0">
        <w:t xml:space="preserve"> </w:t>
      </w:r>
      <w:r w:rsidRPr="0042623F">
        <w:t>in a notebook that includes figures, tables, sketches, and drawings.</w:t>
      </w:r>
    </w:p>
    <w:p w14:paraId="4E7A688C" w14:textId="77777777" w:rsidR="00704845" w:rsidRPr="0042623F" w:rsidRDefault="00704845" w:rsidP="006309B0">
      <w:pPr>
        <w:autoSpaceDE w:val="0"/>
        <w:autoSpaceDN w:val="0"/>
        <w:adjustRightInd w:val="0"/>
        <w:spacing w:after="60" w:line="259" w:lineRule="auto"/>
        <w:ind w:left="360" w:hanging="270"/>
      </w:pPr>
      <w:r w:rsidRPr="0042623F">
        <w:t>2. Compare the prominent anatomical structures and development patterns of the major</w:t>
      </w:r>
      <w:r w:rsidR="006309B0">
        <w:t xml:space="preserve"> </w:t>
      </w:r>
      <w:r w:rsidRPr="0042623F">
        <w:t>phyla of marine organisms.</w:t>
      </w:r>
    </w:p>
    <w:p w14:paraId="49099787" w14:textId="77777777" w:rsidR="00704845" w:rsidRPr="0042623F" w:rsidRDefault="00704845" w:rsidP="006309B0">
      <w:pPr>
        <w:autoSpaceDE w:val="0"/>
        <w:autoSpaceDN w:val="0"/>
        <w:adjustRightInd w:val="0"/>
        <w:spacing w:after="60" w:line="259" w:lineRule="auto"/>
        <w:ind w:left="360" w:hanging="270"/>
      </w:pPr>
      <w:r w:rsidRPr="0042623F">
        <w:t>3. Use phylogenetic methods and multiple types of evidence to reconstruct evolutionary</w:t>
      </w:r>
      <w:r w:rsidR="006309B0">
        <w:t xml:space="preserve"> </w:t>
      </w:r>
      <w:r w:rsidRPr="0042623F">
        <w:t>history and classify marine organisms into taxa.</w:t>
      </w:r>
    </w:p>
    <w:p w14:paraId="1006F9A0" w14:textId="77777777" w:rsidR="00704845" w:rsidRPr="0042623F" w:rsidRDefault="00704845" w:rsidP="006309B0">
      <w:pPr>
        <w:autoSpaceDE w:val="0"/>
        <w:autoSpaceDN w:val="0"/>
        <w:adjustRightInd w:val="0"/>
        <w:spacing w:after="60" w:line="259" w:lineRule="auto"/>
        <w:ind w:left="360" w:hanging="270"/>
      </w:pPr>
      <w:r w:rsidRPr="0042623F">
        <w:t>4. Correctly and safely use lab equipment and practices appropriate to specific areas of</w:t>
      </w:r>
      <w:r w:rsidR="006309B0">
        <w:t xml:space="preserve"> </w:t>
      </w:r>
      <w:r w:rsidRPr="0042623F">
        <w:t>biological study.</w:t>
      </w:r>
    </w:p>
    <w:p w14:paraId="76A331F5" w14:textId="77777777" w:rsidR="00704845" w:rsidRPr="0042623F" w:rsidRDefault="00704845" w:rsidP="006309B0">
      <w:pPr>
        <w:autoSpaceDE w:val="0"/>
        <w:autoSpaceDN w:val="0"/>
        <w:adjustRightInd w:val="0"/>
        <w:spacing w:after="60" w:line="259" w:lineRule="auto"/>
        <w:ind w:left="360" w:hanging="270"/>
      </w:pPr>
      <w:r w:rsidRPr="0042623F">
        <w:t>5. Explain the relationships among density, salinity, specific gravity, and nutrient cycling</w:t>
      </w:r>
      <w:r w:rsidR="006309B0">
        <w:t xml:space="preserve"> </w:t>
      </w:r>
      <w:r w:rsidRPr="0042623F">
        <w:t>processes controlling the stability of seawater in closed system aquaria.</w:t>
      </w:r>
    </w:p>
    <w:p w14:paraId="6DC0851A" w14:textId="77777777" w:rsidR="00704845" w:rsidRPr="0042623F" w:rsidRDefault="00704845" w:rsidP="006309B0">
      <w:pPr>
        <w:spacing w:after="60" w:line="259" w:lineRule="auto"/>
        <w:ind w:left="360" w:hanging="270"/>
      </w:pPr>
      <w:r w:rsidRPr="0042623F">
        <w:t>6. Explain the function of basic aquatic life support systems.</w:t>
      </w:r>
    </w:p>
    <w:p w14:paraId="0DBF3574" w14:textId="77777777" w:rsidR="00704845" w:rsidRPr="0042623F" w:rsidRDefault="00704845" w:rsidP="00704845">
      <w:pPr>
        <w:contextualSpacing/>
      </w:pPr>
    </w:p>
    <w:p w14:paraId="7B72521E" w14:textId="0C1A1E43" w:rsidR="00704845" w:rsidRDefault="00704845" w:rsidP="00704845">
      <w:pPr>
        <w:contextualSpacing/>
      </w:pPr>
    </w:p>
    <w:p w14:paraId="6107AEE7" w14:textId="77777777" w:rsidR="00435D9F" w:rsidRDefault="00435D9F" w:rsidP="00704845">
      <w:pPr>
        <w:contextualSpacing/>
      </w:pPr>
    </w:p>
    <w:p w14:paraId="2F398E4E" w14:textId="31434A38" w:rsidR="00435D9F" w:rsidRPr="00435D9F" w:rsidRDefault="00435D9F" w:rsidP="00435D9F">
      <w:pPr>
        <w:shd w:val="clear" w:color="auto" w:fill="FFFFFF"/>
        <w:spacing w:after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Example B: Learning </w:t>
      </w:r>
      <w:r w:rsidR="00285ED9">
        <w:rPr>
          <w:b/>
        </w:rPr>
        <w:t>Outcomes</w:t>
      </w:r>
      <w:r w:rsidR="00285ED9" w:rsidRPr="00613DBF">
        <w:rPr>
          <w:b/>
        </w:rPr>
        <w:t xml:space="preserve"> </w:t>
      </w:r>
      <w:r>
        <w:rPr>
          <w:rFonts w:eastAsia="Times New Roman"/>
          <w:color w:val="222222"/>
        </w:rPr>
        <w:t xml:space="preserve">from </w:t>
      </w:r>
      <w:r w:rsidR="00285ED9">
        <w:rPr>
          <w:rFonts w:eastAsia="Times New Roman"/>
          <w:color w:val="222222"/>
        </w:rPr>
        <w:t>HST 3010</w:t>
      </w:r>
      <w:r>
        <w:rPr>
          <w:rFonts w:eastAsia="Times New Roman"/>
          <w:color w:val="222222"/>
        </w:rPr>
        <w:t xml:space="preserve"> – </w:t>
      </w:r>
      <w:r w:rsidR="00285ED9">
        <w:rPr>
          <w:rFonts w:eastAsia="Times New Roman"/>
          <w:color w:val="222222"/>
        </w:rPr>
        <w:t>Historical Thinking and Writing</w:t>
      </w:r>
    </w:p>
    <w:p w14:paraId="4E1509EC" w14:textId="77777777" w:rsidR="00435D9F" w:rsidRPr="00435D9F" w:rsidRDefault="00435D9F" w:rsidP="00435D9F">
      <w:pPr>
        <w:shd w:val="clear" w:color="auto" w:fill="FFFFFF"/>
        <w:spacing w:after="0"/>
        <w:rPr>
          <w:rFonts w:eastAsia="Times New Roman"/>
          <w:color w:val="222222"/>
        </w:rPr>
      </w:pPr>
    </w:p>
    <w:p w14:paraId="4D39D1F0" w14:textId="292922C1" w:rsidR="00435D9F" w:rsidRDefault="00435D9F" w:rsidP="00435D9F">
      <w:pPr>
        <w:shd w:val="clear" w:color="auto" w:fill="FFFFFF"/>
        <w:spacing w:after="120"/>
        <w:rPr>
          <w:rFonts w:eastAsia="Times New Roman"/>
          <w:color w:val="222222"/>
        </w:rPr>
      </w:pPr>
      <w:r>
        <w:rPr>
          <w:b/>
          <w:bCs/>
        </w:rPr>
        <w:t xml:space="preserve">Learning </w:t>
      </w:r>
      <w:r w:rsidR="00285ED9">
        <w:rPr>
          <w:b/>
        </w:rPr>
        <w:t>Outcomes</w:t>
      </w:r>
      <w:r w:rsidRPr="0042623F">
        <w:rPr>
          <w:b/>
          <w:bCs/>
        </w:rPr>
        <w:t>:</w:t>
      </w:r>
    </w:p>
    <w:p w14:paraId="24D53FEA" w14:textId="77777777" w:rsidR="00285ED9" w:rsidRPr="00285ED9" w:rsidRDefault="00285ED9" w:rsidP="00285ED9">
      <w:r w:rsidRPr="00285ED9">
        <w:rPr>
          <w:sz w:val="25"/>
          <w:szCs w:val="25"/>
        </w:rPr>
        <w:t>After completing the reading and writing assignments and participating in class discussions, student</w:t>
      </w:r>
      <w:r w:rsidRPr="00285ED9">
        <w:t>s will be able to:</w:t>
      </w:r>
    </w:p>
    <w:p w14:paraId="2401B5DF" w14:textId="77777777" w:rsidR="00285ED9" w:rsidRPr="00285ED9" w:rsidRDefault="00285ED9" w:rsidP="00285ED9">
      <w:r w:rsidRPr="00285ED9">
        <w:t>•</w:t>
      </w:r>
      <w:r w:rsidRPr="00285ED9">
        <w:rPr>
          <w:sz w:val="14"/>
          <w:szCs w:val="14"/>
        </w:rPr>
        <w:t xml:space="preserve">         </w:t>
      </w:r>
      <w:r w:rsidRPr="00285ED9">
        <w:t>Explain the difference between a primary and a secondary source</w:t>
      </w:r>
    </w:p>
    <w:p w14:paraId="70AAF8E3" w14:textId="77777777" w:rsidR="00285ED9" w:rsidRPr="00285ED9" w:rsidRDefault="00285ED9" w:rsidP="00285ED9">
      <w:r w:rsidRPr="00285ED9">
        <w:t>•</w:t>
      </w:r>
      <w:r w:rsidRPr="00285ED9">
        <w:rPr>
          <w:sz w:val="14"/>
          <w:szCs w:val="14"/>
        </w:rPr>
        <w:t xml:space="preserve">         </w:t>
      </w:r>
      <w:r w:rsidRPr="00285ED9">
        <w:t>Identify the argument of a secondary source</w:t>
      </w:r>
    </w:p>
    <w:p w14:paraId="6A1B043D" w14:textId="77777777" w:rsidR="00285ED9" w:rsidRPr="00285ED9" w:rsidRDefault="00285ED9" w:rsidP="00285ED9">
      <w:r w:rsidRPr="00285ED9">
        <w:t>•</w:t>
      </w:r>
      <w:r w:rsidRPr="00285ED9">
        <w:rPr>
          <w:sz w:val="14"/>
          <w:szCs w:val="14"/>
        </w:rPr>
        <w:t xml:space="preserve">         </w:t>
      </w:r>
      <w:r w:rsidRPr="00285ED9">
        <w:t>Craft an argument about a primary source</w:t>
      </w:r>
    </w:p>
    <w:p w14:paraId="297E8808" w14:textId="77777777" w:rsidR="00285ED9" w:rsidRPr="00285ED9" w:rsidRDefault="00285ED9" w:rsidP="00285ED9">
      <w:r w:rsidRPr="00285ED9">
        <w:t>•</w:t>
      </w:r>
      <w:r w:rsidRPr="00285ED9">
        <w:rPr>
          <w:sz w:val="14"/>
          <w:szCs w:val="14"/>
        </w:rPr>
        <w:t xml:space="preserve">         </w:t>
      </w:r>
      <w:r w:rsidRPr="00285ED9">
        <w:t>Communicate an argument in writing with clarity, precision, proper grammar, and clear organization</w:t>
      </w:r>
    </w:p>
    <w:p w14:paraId="763555A6" w14:textId="77777777" w:rsidR="00285ED9" w:rsidRPr="00285ED9" w:rsidRDefault="00285ED9" w:rsidP="00285ED9">
      <w:r w:rsidRPr="00285ED9">
        <w:t>•</w:t>
      </w:r>
      <w:r w:rsidRPr="00285ED9">
        <w:rPr>
          <w:sz w:val="14"/>
          <w:szCs w:val="14"/>
        </w:rPr>
        <w:t xml:space="preserve">         </w:t>
      </w:r>
      <w:r w:rsidRPr="00285ED9">
        <w:t>Find and analyze evidence to support an argument</w:t>
      </w:r>
    </w:p>
    <w:p w14:paraId="7723AABA" w14:textId="77777777" w:rsidR="00285ED9" w:rsidRPr="00285ED9" w:rsidRDefault="00285ED9" w:rsidP="00285ED9">
      <w:r w:rsidRPr="00285ED9">
        <w:t>•</w:t>
      </w:r>
      <w:r w:rsidRPr="00285ED9">
        <w:rPr>
          <w:sz w:val="14"/>
          <w:szCs w:val="14"/>
        </w:rPr>
        <w:t xml:space="preserve">         </w:t>
      </w:r>
      <w:r w:rsidRPr="00285ED9">
        <w:t>Provide constructive feedback to peers on the writing, structure, and content of their papers</w:t>
      </w:r>
    </w:p>
    <w:p w14:paraId="2E59914A" w14:textId="77777777" w:rsidR="00285ED9" w:rsidRPr="00285ED9" w:rsidRDefault="00285ED9" w:rsidP="00285ED9">
      <w:r w:rsidRPr="00285ED9">
        <w:t>•</w:t>
      </w:r>
      <w:r w:rsidRPr="00285ED9">
        <w:rPr>
          <w:sz w:val="14"/>
          <w:szCs w:val="14"/>
        </w:rPr>
        <w:t xml:space="preserve">         </w:t>
      </w:r>
      <w:r w:rsidRPr="00285ED9">
        <w:t>Cite appropriately</w:t>
      </w:r>
    </w:p>
    <w:p w14:paraId="3D279721" w14:textId="77777777" w:rsidR="00285ED9" w:rsidRPr="00285ED9" w:rsidRDefault="00285ED9" w:rsidP="00285ED9">
      <w:r w:rsidRPr="00285ED9">
        <w:t>•</w:t>
      </w:r>
      <w:r w:rsidRPr="00285ED9">
        <w:rPr>
          <w:sz w:val="14"/>
          <w:szCs w:val="14"/>
        </w:rPr>
        <w:t xml:space="preserve">         </w:t>
      </w:r>
      <w:r w:rsidRPr="00285ED9">
        <w:t xml:space="preserve">Craft footnotes and bibliography in </w:t>
      </w:r>
      <w:proofErr w:type="spellStart"/>
      <w:r w:rsidRPr="00285ED9">
        <w:t>Turabian</w:t>
      </w:r>
      <w:proofErr w:type="spellEnd"/>
      <w:r w:rsidRPr="00285ED9">
        <w:t xml:space="preserve"> style</w:t>
      </w:r>
    </w:p>
    <w:p w14:paraId="32DD9F43" w14:textId="77777777" w:rsidR="00285ED9" w:rsidRPr="00285ED9" w:rsidRDefault="00285ED9" w:rsidP="00285ED9">
      <w:r w:rsidRPr="00285ED9">
        <w:t>•</w:t>
      </w:r>
      <w:r w:rsidRPr="00285ED9">
        <w:rPr>
          <w:sz w:val="14"/>
          <w:szCs w:val="14"/>
        </w:rPr>
        <w:t xml:space="preserve">         </w:t>
      </w:r>
      <w:r w:rsidRPr="00285ED9">
        <w:t>Identify whether or not a historical question is a good one</w:t>
      </w:r>
    </w:p>
    <w:p w14:paraId="7B3391BF" w14:textId="77777777" w:rsidR="00285ED9" w:rsidRDefault="00285ED9" w:rsidP="00285ED9">
      <w:r>
        <w:t>•</w:t>
      </w:r>
      <w:r>
        <w:rPr>
          <w:sz w:val="14"/>
          <w:szCs w:val="14"/>
        </w:rPr>
        <w:t xml:space="preserve">         </w:t>
      </w:r>
      <w:r>
        <w:rPr>
          <w:rFonts w:ascii="Garamond" w:hAnsi="Garamond"/>
        </w:rPr>
        <w:t>Identify different approaches to writing history</w:t>
      </w:r>
    </w:p>
    <w:p w14:paraId="4C8C8B47" w14:textId="283C1C14" w:rsidR="00285ED9" w:rsidRPr="00C81164" w:rsidRDefault="00285ED9" w:rsidP="00C81164">
      <w:pPr>
        <w:rPr>
          <w:rFonts w:ascii="Arial" w:hAnsi="Arial" w:cs="Arial"/>
        </w:rPr>
      </w:pPr>
      <w:r>
        <w:rPr>
          <w:rFonts w:eastAsia="Times New Roman"/>
          <w:color w:val="222222"/>
        </w:rPr>
        <w:lastRenderedPageBreak/>
        <w:t xml:space="preserve">Example C: Learning </w:t>
      </w:r>
      <w:r>
        <w:rPr>
          <w:b/>
        </w:rPr>
        <w:t>Outcomes</w:t>
      </w:r>
      <w:r w:rsidRPr="00613DBF">
        <w:rPr>
          <w:b/>
        </w:rPr>
        <w:t xml:space="preserve"> </w:t>
      </w:r>
      <w:r>
        <w:rPr>
          <w:rFonts w:eastAsia="Times New Roman"/>
          <w:color w:val="222222"/>
        </w:rPr>
        <w:t>from DES 4430 Graphic Design III</w:t>
      </w:r>
    </w:p>
    <w:p w14:paraId="46C7F42A" w14:textId="77777777" w:rsidR="00285ED9" w:rsidRPr="00435D9F" w:rsidRDefault="00285ED9" w:rsidP="00285ED9">
      <w:pPr>
        <w:shd w:val="clear" w:color="auto" w:fill="FFFFFF"/>
        <w:spacing w:after="0"/>
        <w:rPr>
          <w:rFonts w:eastAsia="Times New Roman"/>
          <w:color w:val="222222"/>
        </w:rPr>
      </w:pPr>
    </w:p>
    <w:p w14:paraId="7FEED322" w14:textId="522D89DA" w:rsidR="00285ED9" w:rsidRDefault="00285ED9" w:rsidP="00285ED9">
      <w:pPr>
        <w:shd w:val="clear" w:color="auto" w:fill="FFFFFF"/>
        <w:spacing w:after="120"/>
        <w:rPr>
          <w:rFonts w:eastAsia="Times New Roman"/>
          <w:color w:val="222222"/>
        </w:rPr>
      </w:pPr>
      <w:r>
        <w:rPr>
          <w:b/>
          <w:bCs/>
        </w:rPr>
        <w:t xml:space="preserve">Learning </w:t>
      </w:r>
      <w:r>
        <w:rPr>
          <w:b/>
        </w:rPr>
        <w:t>Outcomes</w:t>
      </w:r>
      <w:r w:rsidRPr="0042623F">
        <w:rPr>
          <w:b/>
          <w:bCs/>
        </w:rPr>
        <w:t>:</w:t>
      </w:r>
    </w:p>
    <w:p w14:paraId="560C3F15" w14:textId="77777777" w:rsidR="00285ED9" w:rsidRDefault="00285ED9" w:rsidP="00285ED9">
      <w:r>
        <w:t>Upon completing the course, the student will be able to:</w:t>
      </w:r>
    </w:p>
    <w:p w14:paraId="2EDCFE92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discuss and employ multiple methods of design research, including both qualitative and quantitative methods</w:t>
      </w:r>
    </w:p>
    <w:p w14:paraId="6F1EE23B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find and use high quality, reputable research sources</w:t>
      </w:r>
    </w:p>
    <w:p w14:paraId="0ED9DE4F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employ and discuss industry-standard design thinking processes</w:t>
      </w:r>
    </w:p>
    <w:p w14:paraId="57322D54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solve problems with graphic design solutions</w:t>
      </w:r>
    </w:p>
    <w:p w14:paraId="3B01C4EF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discuss and employ multiple methods for design evaluation, both measurable and practical</w:t>
      </w:r>
    </w:p>
    <w:p w14:paraId="4DECE15C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choose/develop a project topic based on their individual interests and professional goals</w:t>
      </w:r>
    </w:p>
    <w:p w14:paraId="138E6CC7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discuss the importance of designing for “the end user”</w:t>
      </w:r>
    </w:p>
    <w:p w14:paraId="59EFC66A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create visual solutions connected to their end user’s needs, separating themselves from their own individual design style</w:t>
      </w:r>
    </w:p>
    <w:p w14:paraId="5E9BAC38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select the appropriate “mediums for the message”</w:t>
      </w:r>
    </w:p>
    <w:p w14:paraId="152AC6C6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employ multiple methods of design research writing</w:t>
      </w:r>
    </w:p>
    <w:p w14:paraId="25185905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evaluate and discuss design research writing</w:t>
      </w:r>
    </w:p>
    <w:p w14:paraId="321BEC69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discuss avenues for publishing design research writing at the undergraduate level</w:t>
      </w:r>
    </w:p>
    <w:p w14:paraId="74493894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locate their design work within a larger social, cultural, or professional context</w:t>
      </w:r>
    </w:p>
    <w:p w14:paraId="380C8E10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create an appropriate and realistic project brief and project outline (including timelines, goals, and evaluation methods) </w:t>
      </w:r>
    </w:p>
    <w:p w14:paraId="54B2BEDF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identify ways to improve their process over time</w:t>
      </w:r>
    </w:p>
    <w:p w14:paraId="685160A7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exhibit flexibility and adaptability when a project plan does not go as originally planned</w:t>
      </w:r>
    </w:p>
    <w:p w14:paraId="14F5D93C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provide multiple design concepts and solutions for the same problem </w:t>
      </w:r>
    </w:p>
    <w:p w14:paraId="369BA239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exhibit flexibility in their ability to refine concepts through multiple phases</w:t>
      </w:r>
    </w:p>
    <w:p w14:paraId="0BAB2CDE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exhibit flexibility in their ability to accept feedback</w:t>
      </w:r>
    </w:p>
    <w:p w14:paraId="40E4F10D" w14:textId="77777777" w:rsidR="00285ED9" w:rsidRDefault="00285ED9" w:rsidP="00285ED9">
      <w:pPr>
        <w:numPr>
          <w:ilvl w:val="0"/>
          <w:numId w:val="2"/>
        </w:numPr>
        <w:spacing w:before="100" w:beforeAutospacing="1" w:after="100" w:afterAutospacing="1"/>
      </w:pPr>
      <w:r>
        <w:t>successfully manage a semester-long design project</w:t>
      </w:r>
    </w:p>
    <w:p w14:paraId="5406F670" w14:textId="77777777" w:rsidR="00435D9F" w:rsidRPr="00435D9F" w:rsidRDefault="00435D9F" w:rsidP="00704845">
      <w:pPr>
        <w:contextualSpacing/>
      </w:pPr>
    </w:p>
    <w:sectPr w:rsidR="00435D9F" w:rsidRPr="0043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D7B"/>
    <w:multiLevelType w:val="multilevel"/>
    <w:tmpl w:val="31FE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9660B"/>
    <w:multiLevelType w:val="multilevel"/>
    <w:tmpl w:val="0082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45"/>
    <w:rsid w:val="000D29BF"/>
    <w:rsid w:val="00142AD0"/>
    <w:rsid w:val="00285ED9"/>
    <w:rsid w:val="00323699"/>
    <w:rsid w:val="003F4F6B"/>
    <w:rsid w:val="0042623F"/>
    <w:rsid w:val="00435D9F"/>
    <w:rsid w:val="0049542A"/>
    <w:rsid w:val="004F2CEF"/>
    <w:rsid w:val="00544D8E"/>
    <w:rsid w:val="00613DBF"/>
    <w:rsid w:val="006309B0"/>
    <w:rsid w:val="00704845"/>
    <w:rsid w:val="00AB74DF"/>
    <w:rsid w:val="00C62F79"/>
    <w:rsid w:val="00C80D27"/>
    <w:rsid w:val="00C81164"/>
    <w:rsid w:val="00F0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63A4"/>
  <w15:chartTrackingRefBased/>
  <w15:docId w15:val="{712E40F1-5F09-459B-92F5-FB99DEC2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Cassano</dc:creator>
  <cp:keywords/>
  <dc:description/>
  <cp:lastModifiedBy>Aimee N. Symington</cp:lastModifiedBy>
  <cp:revision>2</cp:revision>
  <cp:lastPrinted>2018-06-18T13:39:00Z</cp:lastPrinted>
  <dcterms:created xsi:type="dcterms:W3CDTF">2018-10-09T13:58:00Z</dcterms:created>
  <dcterms:modified xsi:type="dcterms:W3CDTF">2018-10-09T13:58:00Z</dcterms:modified>
</cp:coreProperties>
</file>